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8DE" w:rsidRPr="00627F97" w:rsidRDefault="00FC48DE" w:rsidP="00FC48DE">
      <w:pPr>
        <w:bidi/>
        <w:spacing w:line="240" w:lineRule="auto"/>
        <w:ind w:firstLine="708"/>
        <w:rPr>
          <w:rFonts w:ascii="Traditional Arabic" w:hAnsi="Traditional Arabic" w:cs="Traditional Arabic"/>
          <w:sz w:val="40"/>
          <w:szCs w:val="40"/>
          <w:lang w:bidi="ar-DZ"/>
        </w:rPr>
      </w:pPr>
      <w:r w:rsidRPr="00627F97">
        <w:rPr>
          <w:rFonts w:ascii="Traditional Arabic" w:hAnsi="Traditional Arabic" w:cs="Traditional Arabic"/>
          <w:b/>
          <w:bCs/>
          <w:sz w:val="40"/>
          <w:szCs w:val="40"/>
          <w:rtl/>
        </w:rPr>
        <w:t xml:space="preserve">الدَّرس البلاغيُّ </w:t>
      </w:r>
      <w:r w:rsidRPr="00627F97">
        <w:rPr>
          <w:rFonts w:ascii="Traditional Arabic" w:hAnsi="Traditional Arabic" w:cs="Traditional Arabic" w:hint="cs"/>
          <w:b/>
          <w:bCs/>
          <w:sz w:val="40"/>
          <w:szCs w:val="40"/>
          <w:rtl/>
        </w:rPr>
        <w:t>:</w:t>
      </w:r>
    </w:p>
    <w:p w:rsidR="00FC48DE" w:rsidRPr="00627F97" w:rsidRDefault="00FC48DE" w:rsidP="00FC48DE">
      <w:pPr>
        <w:bidi/>
        <w:spacing w:line="240" w:lineRule="auto"/>
        <w:ind w:firstLine="708"/>
        <w:jc w:val="both"/>
        <w:rPr>
          <w:rFonts w:ascii="Traditional Arabic" w:hAnsi="Traditional Arabic" w:cs="Traditional Arabic"/>
          <w:sz w:val="40"/>
          <w:szCs w:val="40"/>
          <w:lang w:bidi="ar-DZ"/>
        </w:rPr>
      </w:pPr>
      <w:r w:rsidRPr="00627F97">
        <w:rPr>
          <w:rFonts w:ascii="Traditional Arabic" w:hAnsi="Traditional Arabic" w:cs="Traditional Arabic"/>
          <w:sz w:val="40"/>
          <w:szCs w:val="40"/>
          <w:rtl/>
        </w:rPr>
        <w:t>البلاغةُ فنُّ الخطاب الجيِّد، </w:t>
      </w:r>
      <w:r w:rsidRPr="00627F97">
        <w:rPr>
          <w:rFonts w:ascii="Traditional Arabic" w:hAnsi="Traditional Arabic" w:cs="Traditional Arabic"/>
          <w:sz w:val="40"/>
          <w:szCs w:val="40"/>
          <w:lang w:bidi="ar-DZ"/>
        </w:rPr>
        <w:t>"</w:t>
      </w:r>
      <w:r w:rsidRPr="00627F97">
        <w:rPr>
          <w:rFonts w:ascii="Traditional Arabic" w:hAnsi="Traditional Arabic" w:cs="Traditional Arabic"/>
          <w:sz w:val="40"/>
          <w:szCs w:val="40"/>
          <w:rtl/>
        </w:rPr>
        <w:t>البلاغة نظامٌ مِن القواعد، تقوم مهمَّتُه على التوجُّه في إنتاج النَّص الأدبي، وهي نظامٌ يتَحقَّق في النص، تؤثِّر على القارئ بإقناعه، أو تؤثِّر على المتلقِّي في عمليَّة الاتِّصال الأدبي</w:t>
      </w:r>
      <w:r w:rsidRPr="00627F97">
        <w:rPr>
          <w:rStyle w:val="Appelnotedebasdep"/>
          <w:rFonts w:ascii="Traditional Arabic" w:hAnsi="Traditional Arabic" w:cs="Traditional Arabic"/>
          <w:sz w:val="40"/>
          <w:szCs w:val="40"/>
          <w:rtl/>
        </w:rPr>
        <w:footnoteReference w:id="2"/>
      </w:r>
      <w:r w:rsidRPr="00627F97">
        <w:rPr>
          <w:rFonts w:ascii="Traditional Arabic" w:hAnsi="Traditional Arabic" w:cs="Traditional Arabic"/>
          <w:sz w:val="40"/>
          <w:szCs w:val="40"/>
          <w:lang w:bidi="ar-DZ"/>
        </w:rPr>
        <w:t>"</w:t>
      </w:r>
      <w:r w:rsidRPr="00627F97">
        <w:rPr>
          <w:rFonts w:ascii="Traditional Arabic" w:hAnsi="Traditional Arabic" w:cs="Traditional Arabic"/>
          <w:sz w:val="40"/>
          <w:szCs w:val="40"/>
          <w:rtl/>
        </w:rPr>
        <w:t>، ولقد كان لعلمِ البلاغة فضلٌ كبير في بيان أساليب العرب، وتَراكيب لُغتِهم، وما تَمتاز به من قوَّةٍ وجمال؛ في اللَّفظ والمعنى، والعاطفة والخَيال؛ مِمَّا أعان كثيرًا على فَهْم تُراثنا، وتقدير لُغتنا، وبَيان إعجاز كِتابِنا الكريم، بل إنَّ دراسة الإعجاز البياني وإدراكه كان الهدفَ الرَّئيس الذي مِن أجْله وُضِعَ علم البلاغة؛ وفي هذا يقول ابن خَلْدون</w:t>
      </w:r>
      <w:r w:rsidRPr="00627F97">
        <w:rPr>
          <w:rFonts w:ascii="Traditional Arabic" w:hAnsi="Traditional Arabic" w:cs="Traditional Arabic"/>
          <w:sz w:val="40"/>
          <w:szCs w:val="40"/>
          <w:lang w:bidi="ar-DZ"/>
        </w:rPr>
        <w:t>: "</w:t>
      </w:r>
      <w:r w:rsidRPr="00627F97">
        <w:rPr>
          <w:rFonts w:ascii="Traditional Arabic" w:hAnsi="Traditional Arabic" w:cs="Traditional Arabic"/>
          <w:sz w:val="40"/>
          <w:szCs w:val="40"/>
          <w:rtl/>
        </w:rPr>
        <w:t>واعلَمْ أنَّ ثَمرة هذا الفن، إنَّما هي فَهْم الإعجاز مِن القرآن</w:t>
      </w:r>
      <w:r w:rsidRPr="00627F97">
        <w:rPr>
          <w:rFonts w:ascii="Traditional Arabic" w:hAnsi="Traditional Arabic" w:cs="Traditional Arabic"/>
          <w:sz w:val="40"/>
          <w:szCs w:val="40"/>
          <w:lang w:bidi="ar-DZ"/>
        </w:rPr>
        <w:t>"</w:t>
      </w:r>
      <w:r w:rsidRPr="00627F97">
        <w:rPr>
          <w:rStyle w:val="Appelnotedebasdep"/>
          <w:rFonts w:ascii="Traditional Arabic" w:hAnsi="Traditional Arabic" w:cs="Traditional Arabic"/>
          <w:sz w:val="40"/>
          <w:szCs w:val="40"/>
          <w:lang w:bidi="ar-DZ"/>
        </w:rPr>
        <w:footnoteReference w:id="3"/>
      </w:r>
      <w:r w:rsidRPr="00627F97">
        <w:rPr>
          <w:rFonts w:ascii="Traditional Arabic" w:hAnsi="Traditional Arabic" w:cs="Traditional Arabic"/>
          <w:sz w:val="40"/>
          <w:szCs w:val="40"/>
          <w:lang w:bidi="ar-DZ"/>
        </w:rPr>
        <w:t>.</w:t>
      </w:r>
    </w:p>
    <w:p w:rsidR="00FC48DE" w:rsidRPr="00627F97" w:rsidRDefault="00FC48DE" w:rsidP="00FC48DE">
      <w:pPr>
        <w:bidi/>
        <w:spacing w:line="240" w:lineRule="auto"/>
        <w:ind w:firstLine="708"/>
        <w:jc w:val="both"/>
        <w:rPr>
          <w:rFonts w:ascii="Traditional Arabic" w:hAnsi="Traditional Arabic" w:cs="Traditional Arabic"/>
          <w:sz w:val="40"/>
          <w:szCs w:val="40"/>
          <w:lang w:bidi="ar-DZ"/>
        </w:rPr>
      </w:pPr>
      <w:r w:rsidRPr="00627F97">
        <w:rPr>
          <w:rFonts w:ascii="Traditional Arabic" w:hAnsi="Traditional Arabic" w:cs="Traditional Arabic"/>
          <w:sz w:val="40"/>
          <w:szCs w:val="40"/>
          <w:rtl/>
        </w:rPr>
        <w:t>فالبلاغة العربيَّة على هذا دينيَّةُ المَنْبت، قرآنيَّة المَصْدر، درَجَتْ ونَمتْ في رحاب كتاب الله تعالى، تَسْتهدي آياته، وتتشرَّب معانِيَه، قبل أنْ تتناولَ الأدبَ العربي بوجْهٍ عام</w:t>
      </w:r>
      <w:r w:rsidRPr="00627F97">
        <w:rPr>
          <w:rFonts w:ascii="Traditional Arabic" w:hAnsi="Traditional Arabic" w:cs="Traditional Arabic"/>
          <w:sz w:val="40"/>
          <w:szCs w:val="40"/>
          <w:lang w:bidi="ar-DZ"/>
        </w:rPr>
        <w:t>.</w:t>
      </w:r>
    </w:p>
    <w:p w:rsidR="00FC48DE" w:rsidRPr="00627F97" w:rsidRDefault="00FC48DE" w:rsidP="00FC48DE">
      <w:pPr>
        <w:bidi/>
        <w:spacing w:line="240" w:lineRule="auto"/>
        <w:ind w:firstLine="708"/>
        <w:jc w:val="both"/>
        <w:rPr>
          <w:rFonts w:ascii="Traditional Arabic" w:hAnsi="Traditional Arabic" w:cs="Traditional Arabic"/>
          <w:sz w:val="40"/>
          <w:szCs w:val="40"/>
          <w:rtl/>
        </w:rPr>
      </w:pPr>
      <w:r w:rsidRPr="00627F97">
        <w:rPr>
          <w:rFonts w:ascii="Traditional Arabic" w:hAnsi="Traditional Arabic" w:cs="Traditional Arabic"/>
          <w:sz w:val="40"/>
          <w:szCs w:val="40"/>
          <w:rtl/>
        </w:rPr>
        <w:t>ومن خلال تتبُّعِنا الدقيقِ لِمسارات البحث البلاغيِّ عند العرب، خَلُصنا إلى أنَّ المُلاحظاتِ الأسلوبيَّة هي المصدر الأوَّل للبلاغة العربية؛ حيث جُمِعَت تحت اسم البديع ومَحاسِن الكلام </w:t>
      </w:r>
      <w:r w:rsidRPr="00627F97">
        <w:rPr>
          <w:rFonts w:ascii="Traditional Arabic" w:hAnsi="Traditional Arabic" w:cs="Traditional Arabic"/>
          <w:sz w:val="40"/>
          <w:szCs w:val="40"/>
          <w:lang w:bidi="ar-DZ"/>
        </w:rPr>
        <w:t>(</w:t>
      </w:r>
      <w:r w:rsidRPr="00627F97">
        <w:rPr>
          <w:rFonts w:ascii="Traditional Arabic" w:hAnsi="Traditional Arabic" w:cs="Traditional Arabic"/>
          <w:sz w:val="40"/>
          <w:szCs w:val="40"/>
          <w:rtl/>
        </w:rPr>
        <w:t>ابن المعتز</w:t>
      </w:r>
      <w:r w:rsidRPr="00627F97">
        <w:rPr>
          <w:rFonts w:ascii="Traditional Arabic" w:hAnsi="Traditional Arabic" w:cs="Traditional Arabic"/>
          <w:sz w:val="40"/>
          <w:szCs w:val="40"/>
          <w:lang w:bidi="ar-DZ"/>
        </w:rPr>
        <w:t>)</w:t>
      </w:r>
      <w:r w:rsidRPr="00627F97">
        <w:rPr>
          <w:rFonts w:ascii="Traditional Arabic" w:hAnsi="Traditional Arabic" w:cs="Traditional Arabic"/>
          <w:sz w:val="40"/>
          <w:szCs w:val="40"/>
          <w:rtl/>
        </w:rPr>
        <w:t>، وأنَّ الطموح إلى صياغة نظريَّةٍ عامَّة للفهم والإفهام، أو للبيان والتبيين </w:t>
      </w:r>
      <w:r w:rsidRPr="00627F97">
        <w:rPr>
          <w:rFonts w:ascii="Traditional Arabic" w:hAnsi="Traditional Arabic" w:cs="Traditional Arabic"/>
          <w:sz w:val="40"/>
          <w:szCs w:val="40"/>
          <w:lang w:bidi="ar-DZ"/>
        </w:rPr>
        <w:t>(</w:t>
      </w:r>
      <w:r w:rsidRPr="00627F97">
        <w:rPr>
          <w:rFonts w:ascii="Traditional Arabic" w:hAnsi="Traditional Arabic" w:cs="Traditional Arabic"/>
          <w:sz w:val="40"/>
          <w:szCs w:val="40"/>
          <w:rtl/>
        </w:rPr>
        <w:t>الجاحظ</w:t>
      </w:r>
      <w:r w:rsidRPr="00627F97">
        <w:rPr>
          <w:rFonts w:ascii="Traditional Arabic" w:hAnsi="Traditional Arabic" w:cs="Traditional Arabic"/>
          <w:sz w:val="40"/>
          <w:szCs w:val="40"/>
          <w:lang w:bidi="ar-DZ"/>
        </w:rPr>
        <w:t>) </w:t>
      </w:r>
      <w:r w:rsidRPr="00627F97">
        <w:rPr>
          <w:rFonts w:ascii="Traditional Arabic" w:hAnsi="Traditional Arabic" w:cs="Traditional Arabic"/>
          <w:sz w:val="40"/>
          <w:szCs w:val="40"/>
          <w:rtl/>
        </w:rPr>
        <w:t>هو المَصْدر الثاني الكبير للبلاغة العربية).</w:t>
      </w:r>
    </w:p>
    <w:p w:rsidR="00FC48DE" w:rsidRPr="00627F97" w:rsidRDefault="00FC48DE" w:rsidP="00FC48DE">
      <w:pPr>
        <w:bidi/>
        <w:spacing w:line="240" w:lineRule="auto"/>
        <w:ind w:firstLine="708"/>
        <w:jc w:val="both"/>
        <w:rPr>
          <w:rFonts w:ascii="Traditional Arabic" w:hAnsi="Traditional Arabic" w:cs="Traditional Arabic"/>
          <w:sz w:val="40"/>
          <w:szCs w:val="40"/>
          <w:lang w:bidi="ar-DZ"/>
        </w:rPr>
      </w:pPr>
      <w:r w:rsidRPr="00627F97">
        <w:rPr>
          <w:rFonts w:ascii="Traditional Arabic" w:hAnsi="Traditional Arabic" w:cs="Traditional Arabic"/>
          <w:sz w:val="40"/>
          <w:szCs w:val="40"/>
          <w:rtl/>
        </w:rPr>
        <w:t xml:space="preserve">ومن هنا فإنَّ للبلاغة العربية مَهْدَين كبيرَيْن أنتجا مَسارين كبيرين: مسار البديع يغذِّيه الشِّعر، ومسار البيان تُغذِّيه الخطابة، ونظَرًا إلى التَّداخُل الكبير بين </w:t>
      </w:r>
      <w:r w:rsidRPr="00627F97">
        <w:rPr>
          <w:rFonts w:ascii="Traditional Arabic" w:hAnsi="Traditional Arabic" w:cs="Traditional Arabic"/>
          <w:sz w:val="40"/>
          <w:szCs w:val="40"/>
          <w:rtl/>
        </w:rPr>
        <w:lastRenderedPageBreak/>
        <w:t>الشِّعر والخطابة في التُّراث العربي؛ فقد ظلَّ المَساران مُتداخِلَين ومُلتبسَيْن؛ رغم الجهود الكبيرة النيِّرة التي أسهَم بها الفلاسفةُ وهم يَقْرؤون بلاغةَ أرسطو وشعريَّتَه</w:t>
      </w:r>
      <w:r w:rsidRPr="00627F97">
        <w:rPr>
          <w:rStyle w:val="Appelnotedebasdep"/>
          <w:rFonts w:ascii="Traditional Arabic" w:hAnsi="Traditional Arabic" w:cs="Traditional Arabic"/>
          <w:sz w:val="40"/>
          <w:szCs w:val="40"/>
          <w:lang w:bidi="ar-DZ"/>
        </w:rPr>
        <w:footnoteReference w:id="4"/>
      </w:r>
      <w:r w:rsidRPr="00627F97">
        <w:rPr>
          <w:rFonts w:ascii="Traditional Arabic" w:hAnsi="Traditional Arabic" w:cs="Traditional Arabic"/>
          <w:sz w:val="40"/>
          <w:szCs w:val="40"/>
          <w:lang w:bidi="ar-DZ"/>
        </w:rPr>
        <w:t>.</w:t>
      </w:r>
    </w:p>
    <w:p w:rsidR="00AE27DC" w:rsidRDefault="00FC48DE" w:rsidP="00AE27DC">
      <w:pPr>
        <w:bidi/>
        <w:spacing w:line="240" w:lineRule="auto"/>
        <w:ind w:firstLine="708"/>
        <w:jc w:val="both"/>
        <w:rPr>
          <w:rFonts w:ascii="Traditional Arabic" w:hAnsi="Traditional Arabic" w:cs="Traditional Arabic" w:hint="cs"/>
          <w:sz w:val="40"/>
          <w:szCs w:val="40"/>
          <w:rtl/>
          <w:lang w:bidi="ar-DZ"/>
        </w:rPr>
      </w:pPr>
      <w:r w:rsidRPr="00627F97">
        <w:rPr>
          <w:rFonts w:ascii="Traditional Arabic" w:hAnsi="Traditional Arabic" w:cs="Traditional Arabic"/>
          <w:sz w:val="40"/>
          <w:szCs w:val="40"/>
          <w:rtl/>
        </w:rPr>
        <w:t>ونحن مُطالَبون اليوم - بصورةٍ مُلحِّة - بإعادة الشرعيَّة للدرس البلاغي؛ انطِلاقًا من المفهوم النَّسقي لها، الذي يَسْعى إلى جعل البلاغة عِلمًا أعلى، يشمل التَّخْييل والحجاج، ويستوعب المفهومَيْن معًا؛ من خلال المنطقة التي يتَقاطعان فيها، ويوسِّع منطقةَ التقاطع إلى أقصى حدٍّ مُمكن، فقد حدث خلال التَّاريخ أنْ تَقلَّصَ البُعدُ الفلسفيُّ التداولي للبلاغة، وتوسَّع البعد الأسلوبي حتَّى صار الموضوعَ الوحيد لها، فكانت نهضة البلاغة حديثًا مُنصبَّةً على استرجاع البُعد المفقود في التَّجاذُبِ بين المجال الأدبي </w:t>
      </w:r>
      <w:r w:rsidRPr="00627F97">
        <w:rPr>
          <w:rFonts w:ascii="Traditional Arabic" w:hAnsi="Traditional Arabic" w:cs="Traditional Arabic"/>
          <w:sz w:val="40"/>
          <w:szCs w:val="40"/>
          <w:lang w:bidi="ar-DZ"/>
        </w:rPr>
        <w:t>(</w:t>
      </w:r>
      <w:r w:rsidRPr="00627F97">
        <w:rPr>
          <w:rFonts w:ascii="Traditional Arabic" w:hAnsi="Traditional Arabic" w:cs="Traditional Arabic"/>
          <w:sz w:val="40"/>
          <w:szCs w:val="40"/>
          <w:rtl/>
        </w:rPr>
        <w:t>حيث يُهَيمن التخييل</w:t>
      </w:r>
      <w:r w:rsidRPr="00627F97">
        <w:rPr>
          <w:rFonts w:ascii="Traditional Arabic" w:hAnsi="Traditional Arabic" w:cs="Traditional Arabic"/>
          <w:sz w:val="40"/>
          <w:szCs w:val="40"/>
          <w:lang w:bidi="ar-DZ"/>
        </w:rPr>
        <w:t>) </w:t>
      </w:r>
      <w:r w:rsidRPr="00627F97">
        <w:rPr>
          <w:rFonts w:ascii="Traditional Arabic" w:hAnsi="Traditional Arabic" w:cs="Traditional Arabic"/>
          <w:sz w:val="40"/>
          <w:szCs w:val="40"/>
          <w:rtl/>
        </w:rPr>
        <w:t>والمجال الفلسفي المنطقي من جهة، واللِّساني التداولي من جهة ثانية</w:t>
      </w:r>
      <w:r w:rsidRPr="00627F97">
        <w:rPr>
          <w:rStyle w:val="Appelnotedebasdep"/>
          <w:rFonts w:ascii="Traditional Arabic" w:hAnsi="Traditional Arabic" w:cs="Traditional Arabic"/>
          <w:sz w:val="40"/>
          <w:szCs w:val="40"/>
          <w:lang w:bidi="ar-DZ"/>
        </w:rPr>
        <w:footnoteReference w:id="5"/>
      </w:r>
      <w:r w:rsidRPr="00627F97">
        <w:rPr>
          <w:rFonts w:ascii="Traditional Arabic" w:hAnsi="Traditional Arabic" w:cs="Traditional Arabic"/>
          <w:sz w:val="40"/>
          <w:szCs w:val="40"/>
          <w:lang w:bidi="ar-DZ"/>
        </w:rPr>
        <w:t>. </w:t>
      </w:r>
    </w:p>
    <w:p w:rsidR="00FC48DE" w:rsidRPr="00627F97" w:rsidRDefault="00FC48DE" w:rsidP="00AE27DC">
      <w:pPr>
        <w:bidi/>
        <w:spacing w:line="240" w:lineRule="auto"/>
        <w:ind w:firstLine="708"/>
        <w:jc w:val="both"/>
        <w:rPr>
          <w:rFonts w:ascii="Traditional Arabic" w:hAnsi="Traditional Arabic" w:cs="Traditional Arabic"/>
          <w:sz w:val="40"/>
          <w:szCs w:val="40"/>
          <w:lang w:bidi="ar-DZ"/>
        </w:rPr>
      </w:pPr>
      <w:r w:rsidRPr="00627F97">
        <w:rPr>
          <w:rFonts w:ascii="Traditional Arabic" w:hAnsi="Traditional Arabic" w:cs="Traditional Arabic"/>
          <w:b/>
          <w:bCs/>
          <w:sz w:val="40"/>
          <w:szCs w:val="40"/>
          <w:rtl/>
        </w:rPr>
        <w:t>البلاغة والأسلوبية</w:t>
      </w:r>
      <w:r w:rsidRPr="00627F97">
        <w:rPr>
          <w:rFonts w:ascii="Traditional Arabic" w:hAnsi="Traditional Arabic" w:cs="Traditional Arabic"/>
          <w:b/>
          <w:bCs/>
          <w:sz w:val="40"/>
          <w:szCs w:val="40"/>
          <w:lang w:bidi="ar-DZ"/>
        </w:rPr>
        <w:t>:</w:t>
      </w:r>
    </w:p>
    <w:p w:rsidR="00FC48DE" w:rsidRPr="00627F97" w:rsidRDefault="00FC48DE" w:rsidP="00FC48DE">
      <w:pPr>
        <w:bidi/>
        <w:spacing w:line="240" w:lineRule="auto"/>
        <w:ind w:firstLine="708"/>
        <w:jc w:val="both"/>
        <w:rPr>
          <w:rFonts w:ascii="Traditional Arabic" w:hAnsi="Traditional Arabic" w:cs="Traditional Arabic"/>
          <w:sz w:val="40"/>
          <w:szCs w:val="40"/>
          <w:lang w:bidi="ar-DZ"/>
        </w:rPr>
      </w:pPr>
      <w:r w:rsidRPr="00627F97">
        <w:rPr>
          <w:rFonts w:ascii="Traditional Arabic" w:hAnsi="Traditional Arabic" w:cs="Traditional Arabic"/>
          <w:sz w:val="40"/>
          <w:szCs w:val="40"/>
          <w:rtl/>
        </w:rPr>
        <w:t>لقد لقيَتْ دراسةُ الأسلوب في مباحث الإعجاز القرآنيِّ احتِفاءً عظيمًا في الدَّرس العربي، منذ القَرْن الثاني الهجري، التي استدعَتْ - بالضَّرورة - ممن تعرَّضوا للتفسير أن يتفهَّموا مدلول لفظة </w:t>
      </w:r>
      <w:r w:rsidRPr="00627F97">
        <w:rPr>
          <w:rFonts w:ascii="Traditional Arabic" w:hAnsi="Traditional Arabic" w:cs="Traditional Arabic"/>
          <w:sz w:val="40"/>
          <w:szCs w:val="40"/>
          <w:lang w:bidi="ar-DZ"/>
        </w:rPr>
        <w:t>"</w:t>
      </w:r>
      <w:r w:rsidRPr="00627F97">
        <w:rPr>
          <w:rFonts w:ascii="Traditional Arabic" w:hAnsi="Traditional Arabic" w:cs="Traditional Arabic"/>
          <w:sz w:val="40"/>
          <w:szCs w:val="40"/>
          <w:rtl/>
        </w:rPr>
        <w:t>أسلوب</w:t>
      </w:r>
      <w:r w:rsidRPr="00627F97">
        <w:rPr>
          <w:rFonts w:ascii="Traditional Arabic" w:hAnsi="Traditional Arabic" w:cs="Traditional Arabic"/>
          <w:sz w:val="40"/>
          <w:szCs w:val="40"/>
          <w:lang w:bidi="ar-DZ"/>
        </w:rPr>
        <w:t>" </w:t>
      </w:r>
      <w:r w:rsidRPr="00627F97">
        <w:rPr>
          <w:rFonts w:ascii="Traditional Arabic" w:hAnsi="Traditional Arabic" w:cs="Traditional Arabic"/>
          <w:sz w:val="40"/>
          <w:szCs w:val="40"/>
          <w:rtl/>
        </w:rPr>
        <w:t>عند البحث المقارِن بين أسلوب القرآن الكريم وغيره من أساليب الكلام العربي، مُتَّخِذين ذلك وسيلةً لإثبات ظاهرةِ الإعجاز للقرآن الكريم.‏</w:t>
      </w:r>
    </w:p>
    <w:p w:rsidR="00FC48DE" w:rsidRPr="00627F97" w:rsidRDefault="00FC48DE" w:rsidP="00FC48DE">
      <w:pPr>
        <w:bidi/>
        <w:spacing w:line="240" w:lineRule="auto"/>
        <w:ind w:firstLine="708"/>
        <w:jc w:val="both"/>
        <w:rPr>
          <w:rFonts w:ascii="Traditional Arabic" w:hAnsi="Traditional Arabic" w:cs="Traditional Arabic"/>
          <w:sz w:val="40"/>
          <w:szCs w:val="40"/>
          <w:lang w:bidi="ar-DZ"/>
        </w:rPr>
      </w:pPr>
      <w:r w:rsidRPr="00627F97">
        <w:rPr>
          <w:rFonts w:ascii="Traditional Arabic" w:hAnsi="Traditional Arabic" w:cs="Traditional Arabic"/>
          <w:sz w:val="40"/>
          <w:szCs w:val="40"/>
          <w:rtl/>
        </w:rPr>
        <w:t>فقد كان لِعُلماء متقدِّمين؛ كأبي عُبَيدة </w:t>
      </w:r>
      <w:r w:rsidRPr="00627F97">
        <w:rPr>
          <w:rFonts w:ascii="Traditional Arabic" w:hAnsi="Traditional Arabic" w:cs="Traditional Arabic"/>
          <w:sz w:val="40"/>
          <w:szCs w:val="40"/>
          <w:lang w:bidi="ar-DZ"/>
        </w:rPr>
        <w:t>(210</w:t>
      </w:r>
      <w:r w:rsidRPr="00627F97">
        <w:rPr>
          <w:rFonts w:ascii="Traditional Arabic" w:hAnsi="Traditional Arabic" w:cs="Traditional Arabic"/>
          <w:sz w:val="40"/>
          <w:szCs w:val="40"/>
          <w:rtl/>
        </w:rPr>
        <w:t>هـ</w:t>
      </w:r>
      <w:r w:rsidRPr="00627F97">
        <w:rPr>
          <w:rFonts w:ascii="Traditional Arabic" w:hAnsi="Traditional Arabic" w:cs="Traditional Arabic"/>
          <w:sz w:val="40"/>
          <w:szCs w:val="40"/>
          <w:lang w:bidi="ar-DZ"/>
        </w:rPr>
        <w:t>) </w:t>
      </w:r>
      <w:r w:rsidRPr="00627F97">
        <w:rPr>
          <w:rFonts w:ascii="Traditional Arabic" w:hAnsi="Traditional Arabic" w:cs="Traditional Arabic"/>
          <w:sz w:val="40"/>
          <w:szCs w:val="40"/>
          <w:rtl/>
        </w:rPr>
        <w:t>والأخفَش سعيد بن مسعدة </w:t>
      </w:r>
      <w:r w:rsidRPr="00627F97">
        <w:rPr>
          <w:rFonts w:ascii="Traditional Arabic" w:hAnsi="Traditional Arabic" w:cs="Traditional Arabic"/>
          <w:sz w:val="40"/>
          <w:szCs w:val="40"/>
          <w:lang w:bidi="ar-DZ"/>
        </w:rPr>
        <w:t>(207</w:t>
      </w:r>
      <w:r w:rsidRPr="00627F97">
        <w:rPr>
          <w:rFonts w:ascii="Traditional Arabic" w:hAnsi="Traditional Arabic" w:cs="Traditional Arabic"/>
          <w:sz w:val="40"/>
          <w:szCs w:val="40"/>
          <w:rtl/>
        </w:rPr>
        <w:t>هـ</w:t>
      </w:r>
      <w:r w:rsidRPr="00627F97">
        <w:rPr>
          <w:rFonts w:ascii="Traditional Arabic" w:hAnsi="Traditional Arabic" w:cs="Traditional Arabic"/>
          <w:sz w:val="40"/>
          <w:szCs w:val="40"/>
          <w:lang w:bidi="ar-DZ"/>
        </w:rPr>
        <w:t>) </w:t>
      </w:r>
      <w:r w:rsidRPr="00627F97">
        <w:rPr>
          <w:rFonts w:ascii="Traditional Arabic" w:hAnsi="Traditional Arabic" w:cs="Traditional Arabic"/>
          <w:sz w:val="40"/>
          <w:szCs w:val="40"/>
          <w:rtl/>
        </w:rPr>
        <w:t>والفَرَّاءِ </w:t>
      </w:r>
      <w:r w:rsidRPr="00627F97">
        <w:rPr>
          <w:rFonts w:ascii="Traditional Arabic" w:hAnsi="Traditional Arabic" w:cs="Traditional Arabic"/>
          <w:sz w:val="40"/>
          <w:szCs w:val="40"/>
          <w:lang w:bidi="ar-DZ"/>
        </w:rPr>
        <w:t>(208</w:t>
      </w:r>
      <w:r w:rsidRPr="00627F97">
        <w:rPr>
          <w:rFonts w:ascii="Traditional Arabic" w:hAnsi="Traditional Arabic" w:cs="Traditional Arabic"/>
          <w:sz w:val="40"/>
          <w:szCs w:val="40"/>
          <w:rtl/>
        </w:rPr>
        <w:t>هـ</w:t>
      </w:r>
      <w:r w:rsidRPr="00627F97">
        <w:rPr>
          <w:rFonts w:ascii="Traditional Arabic" w:hAnsi="Traditional Arabic" w:cs="Traditional Arabic"/>
          <w:sz w:val="40"/>
          <w:szCs w:val="40"/>
          <w:lang w:bidi="ar-DZ"/>
        </w:rPr>
        <w:t>) </w:t>
      </w:r>
      <w:r w:rsidRPr="00627F97">
        <w:rPr>
          <w:rFonts w:ascii="Traditional Arabic" w:hAnsi="Traditional Arabic" w:cs="Traditional Arabic"/>
          <w:sz w:val="40"/>
          <w:szCs w:val="40"/>
          <w:rtl/>
        </w:rPr>
        <w:t xml:space="preserve">الجهدُ الكبير في إثراء مفهوم الأسلوبِ في </w:t>
      </w:r>
      <w:r w:rsidRPr="00627F97">
        <w:rPr>
          <w:rFonts w:ascii="Traditional Arabic" w:hAnsi="Traditional Arabic" w:cs="Traditional Arabic"/>
          <w:sz w:val="40"/>
          <w:szCs w:val="40"/>
          <w:rtl/>
        </w:rPr>
        <w:lastRenderedPageBreak/>
        <w:t>الشِّعر، وجلاء أشكاله، رغم تَبايُنِ الأهداف التي سعَوْا إليها، بين بلاغة الخطاب القرآنيِّ وإعجازه، أو دفع طعون المُلْحِدين في القرآن وعرَبِيَّتِه.‏</w:t>
      </w:r>
    </w:p>
    <w:p w:rsidR="00FC48DE" w:rsidRPr="00627F97" w:rsidRDefault="00FC48DE" w:rsidP="00FC48DE">
      <w:pPr>
        <w:bidi/>
        <w:spacing w:line="240" w:lineRule="auto"/>
        <w:ind w:firstLine="708"/>
        <w:jc w:val="both"/>
        <w:rPr>
          <w:rFonts w:ascii="Traditional Arabic" w:hAnsi="Traditional Arabic" w:cs="Traditional Arabic"/>
          <w:sz w:val="40"/>
          <w:szCs w:val="40"/>
          <w:lang w:bidi="ar-DZ"/>
        </w:rPr>
      </w:pPr>
      <w:r w:rsidRPr="00627F97">
        <w:rPr>
          <w:rFonts w:ascii="Traditional Arabic" w:hAnsi="Traditional Arabic" w:cs="Traditional Arabic"/>
          <w:sz w:val="40"/>
          <w:szCs w:val="40"/>
          <w:rtl/>
        </w:rPr>
        <w:t>وبِالعودة إلى المعاجم العربيَّة، نجد الزَّبيديَّ - مثلاً - يُعرِّف الأسلوب بأنه هو</w:t>
      </w:r>
      <w:r w:rsidRPr="00627F97">
        <w:rPr>
          <w:rFonts w:ascii="Traditional Arabic" w:hAnsi="Traditional Arabic" w:cs="Traditional Arabic"/>
          <w:sz w:val="40"/>
          <w:szCs w:val="40"/>
          <w:lang w:bidi="ar-DZ"/>
        </w:rPr>
        <w:t>: "</w:t>
      </w:r>
      <w:r w:rsidRPr="00627F97">
        <w:rPr>
          <w:rFonts w:ascii="Traditional Arabic" w:hAnsi="Traditional Arabic" w:cs="Traditional Arabic"/>
          <w:sz w:val="40"/>
          <w:szCs w:val="40"/>
          <w:rtl/>
        </w:rPr>
        <w:t>السَّطر من النخيل، والطَّريقُيَأخذ فيه، وكلُّ طريق ممتدٍّ فهو أسلوب، والأسلوبُ: الوَجْه والمَذْهب؛ يُقال: هم في أسلوبِ سوء، ويُجمَع على أساليب، وقد سلكَ أسلوبَه: طريقتَه، وكلامُه على أساليبَ حسَنة، والأُسلوب بالضَّمِّالفَنُّ، يُقال: أخذَ فلانٌ في أساليبَ مِن القول؛ أي: أفانينَ منه</w:t>
      </w:r>
      <w:r>
        <w:rPr>
          <w:rFonts w:ascii="Traditional Arabic" w:hAnsi="Traditional Arabic" w:cs="Traditional Arabic" w:hint="cs"/>
          <w:sz w:val="40"/>
          <w:szCs w:val="40"/>
          <w:rtl/>
        </w:rPr>
        <w:t>"</w:t>
      </w:r>
      <w:r w:rsidRPr="00627F97">
        <w:rPr>
          <w:rStyle w:val="Appelnotedebasdep"/>
          <w:rFonts w:ascii="Traditional Arabic" w:hAnsi="Traditional Arabic" w:cs="Traditional Arabic"/>
          <w:sz w:val="40"/>
          <w:szCs w:val="40"/>
          <w:lang w:bidi="ar-DZ"/>
        </w:rPr>
        <w:footnoteReference w:id="6"/>
      </w:r>
      <w:r w:rsidRPr="00627F97">
        <w:rPr>
          <w:rFonts w:ascii="Traditional Arabic" w:hAnsi="Traditional Arabic" w:cs="Traditional Arabic"/>
          <w:sz w:val="40"/>
          <w:szCs w:val="40"/>
          <w:lang w:bidi="ar-DZ"/>
        </w:rPr>
        <w:t>.</w:t>
      </w:r>
    </w:p>
    <w:p w:rsidR="00FC48DE" w:rsidRPr="00627F97" w:rsidRDefault="00FC48DE" w:rsidP="00FC48DE">
      <w:pPr>
        <w:bidi/>
        <w:spacing w:line="240" w:lineRule="auto"/>
        <w:ind w:firstLine="708"/>
        <w:jc w:val="both"/>
        <w:rPr>
          <w:rFonts w:ascii="Traditional Arabic" w:hAnsi="Traditional Arabic" w:cs="Traditional Arabic"/>
          <w:sz w:val="40"/>
          <w:szCs w:val="40"/>
          <w:lang w:bidi="ar-DZ"/>
        </w:rPr>
      </w:pPr>
      <w:r w:rsidRPr="00627F97">
        <w:rPr>
          <w:rFonts w:ascii="Traditional Arabic" w:hAnsi="Traditional Arabic" w:cs="Traditional Arabic"/>
          <w:sz w:val="40"/>
          <w:szCs w:val="40"/>
          <w:rtl/>
        </w:rPr>
        <w:t>أمَّا عند البلاغيِّين فإنَّ الأسلوب في اعتقاد ابن طباطبا - كشأن </w:t>
      </w:r>
      <w:r w:rsidRPr="00627F97">
        <w:rPr>
          <w:rFonts w:ascii="Traditional Arabic" w:hAnsi="Traditional Arabic" w:cs="Traditional Arabic"/>
          <w:sz w:val="40"/>
          <w:szCs w:val="40"/>
          <w:lang w:bidi="ar-DZ"/>
        </w:rPr>
        <w:t>"</w:t>
      </w:r>
      <w:r w:rsidRPr="00627F97">
        <w:rPr>
          <w:rFonts w:ascii="Traditional Arabic" w:hAnsi="Traditional Arabic" w:cs="Traditional Arabic"/>
          <w:sz w:val="40"/>
          <w:szCs w:val="40"/>
          <w:rtl/>
        </w:rPr>
        <w:t>النسَّاج الحاذِق الذي يوفق وشْيَه بأحسن التَّوفيق، ويسديه وينيره</w:t>
      </w:r>
      <w:r w:rsidRPr="00627F97">
        <w:rPr>
          <w:rFonts w:ascii="Traditional Arabic" w:hAnsi="Traditional Arabic" w:cs="Traditional Arabic"/>
          <w:sz w:val="40"/>
          <w:szCs w:val="40"/>
          <w:lang w:bidi="ar-DZ"/>
        </w:rPr>
        <w:t>"</w:t>
      </w:r>
      <w:r w:rsidRPr="00627F97">
        <w:rPr>
          <w:rStyle w:val="Appelnotedebasdep"/>
          <w:rFonts w:ascii="Traditional Arabic" w:hAnsi="Traditional Arabic" w:cs="Traditional Arabic"/>
          <w:sz w:val="40"/>
          <w:szCs w:val="40"/>
          <w:lang w:bidi="ar-DZ"/>
        </w:rPr>
        <w:footnoteReference w:id="7"/>
      </w:r>
      <w:r w:rsidRPr="00627F97">
        <w:rPr>
          <w:rFonts w:ascii="Traditional Arabic" w:hAnsi="Traditional Arabic" w:cs="Traditional Arabic"/>
          <w:sz w:val="40"/>
          <w:szCs w:val="40"/>
          <w:rtl/>
        </w:rPr>
        <w:t>، حتَّى يجلي نَظْمه في أحسن حلَّة، ولا يتأتَّى له ذلك إلاَّ بالحذق في صناعة الأسلوب، والتحكُّم في آليَّاته.‏</w:t>
      </w:r>
    </w:p>
    <w:p w:rsidR="00FC48DE" w:rsidRPr="00627F97" w:rsidRDefault="00FC48DE" w:rsidP="00FC48DE">
      <w:pPr>
        <w:bidi/>
        <w:spacing w:line="240" w:lineRule="auto"/>
        <w:ind w:firstLine="708"/>
        <w:jc w:val="both"/>
        <w:rPr>
          <w:rFonts w:ascii="Traditional Arabic" w:hAnsi="Traditional Arabic" w:cs="Traditional Arabic"/>
          <w:sz w:val="40"/>
          <w:szCs w:val="40"/>
          <w:lang w:bidi="ar-DZ"/>
        </w:rPr>
      </w:pPr>
      <w:r w:rsidRPr="00627F97">
        <w:rPr>
          <w:rFonts w:ascii="Traditional Arabic" w:hAnsi="Traditional Arabic" w:cs="Traditional Arabic"/>
          <w:sz w:val="40"/>
          <w:szCs w:val="40"/>
          <w:rtl/>
        </w:rPr>
        <w:t>ولقد ألفَيْنا النظرة إلى الأسلوب تتعمَّق في التُّراث البلاغيِّ مع أطروحات عبدالقاهر الجُرجانيِّ</w:t>
      </w:r>
      <w:r>
        <w:rPr>
          <w:rFonts w:ascii="Traditional Arabic" w:hAnsi="Traditional Arabic" w:cs="Traditional Arabic" w:hint="cs"/>
          <w:sz w:val="40"/>
          <w:szCs w:val="40"/>
          <w:rtl/>
        </w:rPr>
        <w:t>(</w:t>
      </w:r>
      <w:r w:rsidRPr="00627F97">
        <w:rPr>
          <w:rFonts w:ascii="Traditional Arabic" w:hAnsi="Traditional Arabic" w:cs="Traditional Arabic"/>
          <w:sz w:val="40"/>
          <w:szCs w:val="40"/>
          <w:rtl/>
        </w:rPr>
        <w:t> </w:t>
      </w:r>
      <w:r w:rsidRPr="00627F97">
        <w:rPr>
          <w:rFonts w:ascii="Traditional Arabic" w:hAnsi="Traditional Arabic" w:cs="Traditional Arabic"/>
          <w:sz w:val="40"/>
          <w:szCs w:val="40"/>
          <w:lang w:bidi="ar-DZ"/>
        </w:rPr>
        <w:t xml:space="preserve">471 </w:t>
      </w:r>
      <w:r w:rsidRPr="00627F97">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627F97">
        <w:rPr>
          <w:rFonts w:ascii="Traditional Arabic" w:hAnsi="Traditional Arabic" w:cs="Traditional Arabic"/>
          <w:sz w:val="40"/>
          <w:szCs w:val="40"/>
          <w:rtl/>
        </w:rPr>
        <w:t>ـ؛ إذْ نجِدُه يُساوي بين الأسلوب والنَّظْم، بل يَجْمع بينهما جمعًا عبقريًّا؛ لأنَّ الأسلوب عنده لا يَنْفصل عن النَّظْم بل نَجِدُه يُماثل بينهما من حيثُ إنَّهما يُشكِّلان تنوُّعًا لُغَويًّا خاصًّا بكل مُبْدِع يَصْدر عن وَعْيٍ واختيار وفَهْم، ومِن ثَمَّ يَذهب عبدالقاهر إلى أنَّ الأسلوب ضربٌ من النَّظم، وطريقةٌ فيه.‏</w:t>
      </w:r>
    </w:p>
    <w:p w:rsidR="00FC48DE" w:rsidRPr="00627F97" w:rsidRDefault="00FC48DE" w:rsidP="00FC48DE">
      <w:pPr>
        <w:bidi/>
        <w:spacing w:line="240" w:lineRule="auto"/>
        <w:ind w:firstLine="708"/>
        <w:jc w:val="both"/>
        <w:rPr>
          <w:rFonts w:ascii="Traditional Arabic" w:hAnsi="Traditional Arabic" w:cs="Traditional Arabic"/>
          <w:sz w:val="40"/>
          <w:szCs w:val="40"/>
          <w:lang w:bidi="ar-DZ"/>
        </w:rPr>
      </w:pPr>
      <w:r w:rsidRPr="00627F97">
        <w:rPr>
          <w:rFonts w:ascii="Traditional Arabic" w:hAnsi="Traditional Arabic" w:cs="Traditional Arabic"/>
          <w:sz w:val="40"/>
          <w:szCs w:val="40"/>
          <w:rtl/>
        </w:rPr>
        <w:t xml:space="preserve">وإذا كان الأسلوبُ - كذلك - يجب أن يتوخَّى فيه المبدعُ اللَّفظ لِمُقتضى التفرُّد الذاتيِّ في انتقاء اللُّغة عن وعْيٍ، وذلك بِمُراعاة حال المخاطب؛ فإنَّ الجرجانيَّ قد أضاف أصلاً أصيلاً إلى نظرية الأسلوب في البلاغة العربية القديمة؛ إذْ جعل الأسلوبَ يقوم على الأصول العربيَّة وقواعدِها، فالنَّظْم يَمتنع معنًى إذا لم يَنْضبط </w:t>
      </w:r>
      <w:r w:rsidRPr="00627F97">
        <w:rPr>
          <w:rFonts w:ascii="Traditional Arabic" w:hAnsi="Traditional Arabic" w:cs="Traditional Arabic"/>
          <w:sz w:val="40"/>
          <w:szCs w:val="40"/>
          <w:rtl/>
        </w:rPr>
        <w:lastRenderedPageBreak/>
        <w:t>بالنَّحو، وذلك ما أسَّس له الجرجانيُّ في دلائل الإعجاز بقوله</w:t>
      </w:r>
      <w:r w:rsidRPr="00627F97">
        <w:rPr>
          <w:rFonts w:ascii="Traditional Arabic" w:hAnsi="Traditional Arabic" w:cs="Traditional Arabic"/>
          <w:sz w:val="40"/>
          <w:szCs w:val="40"/>
          <w:lang w:bidi="ar-DZ"/>
        </w:rPr>
        <w:t>: "</w:t>
      </w:r>
      <w:r w:rsidRPr="00627F97">
        <w:rPr>
          <w:rFonts w:ascii="Traditional Arabic" w:hAnsi="Traditional Arabic" w:cs="Traditional Arabic"/>
          <w:sz w:val="40"/>
          <w:szCs w:val="40"/>
          <w:rtl/>
        </w:rPr>
        <w:t>واعْلَم أنْ ليسَ النَّظْمُ إلاَّ أن تَضع كلامك الذي يقتضيه علمُ النَّحو، وتَعْمل على قوانينه وأصولِه، وتَعرف مناهِجَه التي نهجت، فلا تزيغ منها، وتَحْفظ الرُّسوم التي رسمت لك، فلا تُخِلَّ بشيءٍ منها</w:t>
      </w:r>
      <w:r w:rsidRPr="00627F97">
        <w:rPr>
          <w:rStyle w:val="Appelnotedebasdep"/>
          <w:rFonts w:ascii="Traditional Arabic" w:hAnsi="Traditional Arabic" w:cs="Traditional Arabic"/>
          <w:sz w:val="40"/>
          <w:szCs w:val="40"/>
          <w:rtl/>
        </w:rPr>
        <w:footnoteReference w:id="8"/>
      </w:r>
      <w:r w:rsidRPr="00627F97">
        <w:rPr>
          <w:rFonts w:ascii="Traditional Arabic" w:hAnsi="Traditional Arabic" w:cs="Traditional Arabic"/>
          <w:sz w:val="40"/>
          <w:szCs w:val="40"/>
          <w:lang w:bidi="ar-DZ"/>
        </w:rPr>
        <w:t>"</w:t>
      </w:r>
      <w:r w:rsidRPr="00627F97">
        <w:rPr>
          <w:rFonts w:ascii="Traditional Arabic" w:hAnsi="Traditional Arabic" w:cs="Traditional Arabic"/>
          <w:sz w:val="40"/>
          <w:szCs w:val="40"/>
          <w:rtl/>
          <w:lang w:bidi="ar-DZ"/>
        </w:rPr>
        <w:t>.</w:t>
      </w:r>
      <w:r w:rsidRPr="00627F97">
        <w:rPr>
          <w:rFonts w:ascii="Traditional Arabic" w:hAnsi="Traditional Arabic" w:cs="Traditional Arabic"/>
          <w:sz w:val="40"/>
          <w:szCs w:val="40"/>
          <w:rtl/>
        </w:rPr>
        <w:t xml:space="preserve"> وبذلك جعلَ عبدُالقاهر الجرجاني من النَّحو قاعدةً لكلِّ نَظْم؛ لا باعتبارِه أداةَ أسلوبٍ ينتظم بها التَّركيب في نسقِه الإعرابيِّ العام، وإنَّما جعل منه - كذلك - مستفتحًا لما استغلق من المعنى؛ إذِ الألفاظ مُغْلقةٌ على معانيها حتَّى يكون الإعرابُ مِفتاحًا لها، و"أنَّ الأغراض كامنةٌ فيها حتَّى يكون هو المستخرِجَ لها، وأنه المِعْيار الذي لا يتبيَّن نُقْصانُ كلامٍ ورجحانُه، حتَّى يعرض عليه؛ والمقياس الذي لا يَعرف صحيحًا من سقيم حتَّى يرجع إليه، ولا ينكر ذلك إلاَّ من يُنكر حِسَّه</w:t>
      </w:r>
      <w:r w:rsidRPr="00627F97">
        <w:rPr>
          <w:rFonts w:ascii="Traditional Arabic" w:hAnsi="Traditional Arabic" w:cs="Traditional Arabic"/>
          <w:sz w:val="40"/>
          <w:szCs w:val="40"/>
          <w:lang w:bidi="ar-DZ"/>
        </w:rPr>
        <w:t>"</w:t>
      </w:r>
      <w:r w:rsidRPr="00627F97">
        <w:rPr>
          <w:rStyle w:val="Appelnotedebasdep"/>
          <w:rFonts w:ascii="Traditional Arabic" w:hAnsi="Traditional Arabic" w:cs="Traditional Arabic"/>
          <w:sz w:val="40"/>
          <w:szCs w:val="40"/>
          <w:lang w:bidi="ar-DZ"/>
        </w:rPr>
        <w:footnoteReference w:id="9"/>
      </w:r>
      <w:r w:rsidRPr="00627F97">
        <w:rPr>
          <w:rFonts w:ascii="Traditional Arabic" w:hAnsi="Traditional Arabic" w:cs="Traditional Arabic"/>
          <w:sz w:val="40"/>
          <w:szCs w:val="40"/>
          <w:rtl/>
        </w:rPr>
        <w:t>، فإذا أدركَ المبدِعُ ذلك، استقام له الأسلوب، وأتاه أنَّى شاء.‏</w:t>
      </w:r>
    </w:p>
    <w:p w:rsidR="00FC48DE" w:rsidRPr="00627F97" w:rsidRDefault="00FC48DE" w:rsidP="00FC48DE">
      <w:pPr>
        <w:bidi/>
        <w:spacing w:line="240" w:lineRule="auto"/>
        <w:ind w:firstLine="708"/>
        <w:jc w:val="both"/>
        <w:rPr>
          <w:rFonts w:ascii="Traditional Arabic" w:hAnsi="Traditional Arabic" w:cs="Traditional Arabic"/>
          <w:sz w:val="40"/>
          <w:szCs w:val="40"/>
          <w:lang w:bidi="ar-DZ"/>
        </w:rPr>
      </w:pPr>
      <w:r w:rsidRPr="00627F97">
        <w:rPr>
          <w:rFonts w:ascii="Traditional Arabic" w:hAnsi="Traditional Arabic" w:cs="Traditional Arabic"/>
          <w:sz w:val="40"/>
          <w:szCs w:val="40"/>
          <w:rtl/>
        </w:rPr>
        <w:t>وإذا انتقَلْنا بعد ذلك إلى ابن خلدون، نجده يصرِّح بأنَّ الأسلوب عند أهل الصناعة</w:t>
      </w:r>
      <w:r w:rsidRPr="00627F97">
        <w:rPr>
          <w:rFonts w:ascii="Traditional Arabic" w:hAnsi="Traditional Arabic" w:cs="Traditional Arabic"/>
          <w:sz w:val="40"/>
          <w:szCs w:val="40"/>
          <w:lang w:bidi="ar-DZ"/>
        </w:rPr>
        <w:t>: "</w:t>
      </w:r>
      <w:r w:rsidRPr="00627F97">
        <w:rPr>
          <w:rFonts w:ascii="Traditional Arabic" w:hAnsi="Traditional Arabic" w:cs="Traditional Arabic"/>
          <w:sz w:val="40"/>
          <w:szCs w:val="40"/>
          <w:rtl/>
        </w:rPr>
        <w:t>عبارةٌ عن المِنْوال الذي تنسج فيه التَّراكيب، أو القوالب التي يفرغ فيها، ولا يَرجع على الكلام باعتبار إفادته كمالَ المعنى الذي هو وظيفةُ البلاغة والبيان؛ لا باعتباره الوَزْنَ كما استعملَه العربُ فيه الذي هو وظيفة العروض، فهذه العلوم الثلاثة خارجةٌ عن هذه الصناعة الشعرية</w:t>
      </w:r>
      <w:r w:rsidRPr="00627F97">
        <w:rPr>
          <w:rFonts w:ascii="Traditional Arabic" w:hAnsi="Traditional Arabic" w:cs="Traditional Arabic"/>
          <w:sz w:val="40"/>
          <w:szCs w:val="40"/>
          <w:lang w:bidi="ar-DZ"/>
        </w:rPr>
        <w:t>"</w:t>
      </w:r>
      <w:r w:rsidRPr="00627F97">
        <w:rPr>
          <w:rStyle w:val="Appelnotedebasdep"/>
          <w:rFonts w:ascii="Traditional Arabic" w:hAnsi="Traditional Arabic" w:cs="Traditional Arabic"/>
          <w:sz w:val="40"/>
          <w:szCs w:val="40"/>
          <w:lang w:bidi="ar-DZ"/>
        </w:rPr>
        <w:footnoteReference w:id="10"/>
      </w:r>
      <w:r w:rsidRPr="00627F97">
        <w:rPr>
          <w:rFonts w:ascii="Traditional Arabic" w:hAnsi="Traditional Arabic" w:cs="Traditional Arabic"/>
          <w:sz w:val="40"/>
          <w:szCs w:val="40"/>
          <w:lang w:bidi="ar-DZ"/>
        </w:rPr>
        <w:t>.</w:t>
      </w:r>
    </w:p>
    <w:p w:rsidR="00FC48DE" w:rsidRPr="00627F97" w:rsidRDefault="00FC48DE" w:rsidP="00FC48DE">
      <w:pPr>
        <w:bidi/>
        <w:spacing w:line="240" w:lineRule="auto"/>
        <w:ind w:firstLine="708"/>
        <w:jc w:val="both"/>
        <w:rPr>
          <w:rFonts w:ascii="Traditional Arabic" w:hAnsi="Traditional Arabic" w:cs="Traditional Arabic"/>
          <w:sz w:val="40"/>
          <w:szCs w:val="40"/>
          <w:lang w:bidi="ar-DZ"/>
        </w:rPr>
      </w:pPr>
      <w:r w:rsidRPr="00627F97">
        <w:rPr>
          <w:rFonts w:ascii="Traditional Arabic" w:hAnsi="Traditional Arabic" w:cs="Traditional Arabic"/>
          <w:sz w:val="40"/>
          <w:szCs w:val="40"/>
          <w:rtl/>
        </w:rPr>
        <w:t>يُعدُّ مفهوم الأسلوبيَّة - كما هو معروفٌ - وليدَ القرنِ العشرين، وقد التصقَ بالدِّراسات اللغويَّة، وهو بذلك قد انتقلَ عن مفهوم </w:t>
      </w:r>
      <w:r w:rsidRPr="00627F97">
        <w:rPr>
          <w:rFonts w:ascii="Traditional Arabic" w:hAnsi="Traditional Arabic" w:cs="Traditional Arabic"/>
          <w:sz w:val="40"/>
          <w:szCs w:val="40"/>
          <w:lang w:bidi="ar-DZ"/>
        </w:rPr>
        <w:t>"</w:t>
      </w:r>
      <w:r w:rsidRPr="00627F97">
        <w:rPr>
          <w:rFonts w:ascii="Traditional Arabic" w:hAnsi="Traditional Arabic" w:cs="Traditional Arabic"/>
          <w:sz w:val="40"/>
          <w:szCs w:val="40"/>
          <w:rtl/>
        </w:rPr>
        <w:t>الأسلوب</w:t>
      </w:r>
      <w:r w:rsidRPr="00627F97">
        <w:rPr>
          <w:rFonts w:ascii="Traditional Arabic" w:hAnsi="Traditional Arabic" w:cs="Traditional Arabic"/>
          <w:sz w:val="40"/>
          <w:szCs w:val="40"/>
          <w:lang w:bidi="ar-DZ"/>
        </w:rPr>
        <w:t>" </w:t>
      </w:r>
      <w:r w:rsidRPr="00627F97">
        <w:rPr>
          <w:rFonts w:ascii="Traditional Arabic" w:hAnsi="Traditional Arabic" w:cs="Traditional Arabic"/>
          <w:sz w:val="40"/>
          <w:szCs w:val="40"/>
          <w:rtl/>
        </w:rPr>
        <w:t xml:space="preserve">السابق في النَّشأة منذ قُرون، والذي كان لصيقًا بالدِّراسات البلاغيَّة، ومن الممكن القولُ: إنَّ الأسلوب مِهادٌ طبيعيٌّ للأسلوبيَّة؛ فالأسلوبيَّة تُحاول الإجابةَ عن السؤال: كيف يَكْتب الكاتب نَصًّا من خلال اللُّغة؟ إذْ بها ومِنْها يتأتَّى للقارئ استحسانُ النصِّ </w:t>
      </w:r>
      <w:r w:rsidRPr="00627F97">
        <w:rPr>
          <w:rFonts w:ascii="Traditional Arabic" w:hAnsi="Traditional Arabic" w:cs="Traditional Arabic"/>
          <w:sz w:val="40"/>
          <w:szCs w:val="40"/>
          <w:rtl/>
        </w:rPr>
        <w:lastRenderedPageBreak/>
        <w:t>أو استهجانه، كما يتأتَّى له أيضًا الوقوفُ على ما في النصِّ من جاذبيَّة فنِّية تسمو بالنصِّ إلى مصافِّ الأعمال الفنيَّة الخالدة، والأسلوبيَّةُ من المناهج التي تبنَّت الطَّرح النَّسقي؛ انطلاقًا من مؤسِّسها شارل بالي، </w:t>
      </w:r>
      <w:r w:rsidRPr="00627F97">
        <w:rPr>
          <w:rFonts w:ascii="Traditional Arabic" w:hAnsi="Traditional Arabic" w:cs="Traditional Arabic"/>
          <w:sz w:val="40"/>
          <w:szCs w:val="40"/>
          <w:lang w:bidi="ar-DZ"/>
        </w:rPr>
        <w:t>"</w:t>
      </w:r>
      <w:r w:rsidRPr="00627F97">
        <w:rPr>
          <w:rFonts w:ascii="Traditional Arabic" w:hAnsi="Traditional Arabic" w:cs="Traditional Arabic"/>
          <w:sz w:val="40"/>
          <w:szCs w:val="40"/>
          <w:rtl/>
        </w:rPr>
        <w:t>فمنذ سنة 1902 كِدْنا نَجْزم مع شارل بالي أنَّ علم الأسلوب قد تأسَّسَت قواعِدُه النِّهائيَّة، مثلما أرسى أستاذُه ف.دي.سوسير أصولَ اللِّسانيات الحديثة</w:t>
      </w:r>
      <w:r w:rsidRPr="00627F97">
        <w:rPr>
          <w:rStyle w:val="Appelnotedebasdep"/>
          <w:rFonts w:ascii="Traditional Arabic" w:hAnsi="Traditional Arabic" w:cs="Traditional Arabic"/>
          <w:sz w:val="40"/>
          <w:szCs w:val="40"/>
          <w:rtl/>
        </w:rPr>
        <w:footnoteReference w:id="11"/>
      </w:r>
      <w:r w:rsidRPr="00627F97">
        <w:rPr>
          <w:rFonts w:ascii="Traditional Arabic" w:hAnsi="Traditional Arabic" w:cs="Traditional Arabic"/>
          <w:sz w:val="40"/>
          <w:szCs w:val="40"/>
          <w:lang w:bidi="ar-DZ"/>
        </w:rPr>
        <w:t>"</w:t>
      </w:r>
      <w:r w:rsidRPr="00627F97">
        <w:rPr>
          <w:rFonts w:ascii="Traditional Arabic" w:hAnsi="Traditional Arabic" w:cs="Traditional Arabic"/>
          <w:sz w:val="40"/>
          <w:szCs w:val="40"/>
          <w:rtl/>
        </w:rPr>
        <w:t>، ووضَع قواعدها المبدئيَّة، حينها غيَّرَت الدِّراساتُ النَّقدية نمطَ تعامُلِها مع الآثار الأدبيَّة، باعتمادها النَّسق المغلقَ، المتمثِّل في النَّص، واستقرائه من خلال لغته الحاملةِ له، وإبعادها كلَّ ما له صلةٌ بالسِّياقات، وإصدار الأحكام المعياريَّة.‏</w:t>
      </w:r>
      <w:r w:rsidRPr="00627F97">
        <w:rPr>
          <w:rFonts w:ascii="Traditional Arabic" w:hAnsi="Traditional Arabic" w:cs="Traditional Arabic"/>
          <w:sz w:val="40"/>
          <w:szCs w:val="40"/>
          <w:lang w:bidi="ar-DZ"/>
        </w:rPr>
        <w:t> </w:t>
      </w:r>
    </w:p>
    <w:p w:rsidR="00FC48DE" w:rsidRPr="00627F97" w:rsidRDefault="00FC48DE" w:rsidP="00FC48DE">
      <w:pPr>
        <w:bidi/>
        <w:spacing w:line="240" w:lineRule="auto"/>
        <w:ind w:firstLine="708"/>
        <w:jc w:val="both"/>
        <w:rPr>
          <w:rFonts w:ascii="Traditional Arabic" w:hAnsi="Traditional Arabic" w:cs="Traditional Arabic"/>
          <w:sz w:val="40"/>
          <w:szCs w:val="40"/>
          <w:lang w:bidi="ar-DZ"/>
        </w:rPr>
      </w:pPr>
      <w:r w:rsidRPr="00627F97">
        <w:rPr>
          <w:rFonts w:ascii="Traditional Arabic" w:hAnsi="Traditional Arabic" w:cs="Traditional Arabic"/>
          <w:sz w:val="40"/>
          <w:szCs w:val="40"/>
          <w:rtl/>
        </w:rPr>
        <w:t>يُمكننا أن نَخْلُص إلى أن الأسلوبيَّة  غايتُه مقاربةُ النُّصوص في سياقها اللُّغوي المتمثِّل في النَّص، ومدى تأثيره في القُرَّاء، فيجعل من الأسلوب مادَّة لدراسته، حينها نجد أنَّ هذا الأخيرَ يكون حقلاً خصبًا تجد فيه الأسلوبيَّةُ ضالَّتَها درسًا وتطبيقًا،‏ ومن هنا؛ فإنَّ الجانب اللُّغوي هو مجال الباحث الأسلوبي؛ لأنَّ الأسلوبيَّة تَعُود بالضَّرورة - حسب طبيعتِها - إلى </w:t>
      </w:r>
      <w:r w:rsidRPr="00627F97">
        <w:rPr>
          <w:rFonts w:ascii="Traditional Arabic" w:hAnsi="Traditional Arabic" w:cs="Traditional Arabic"/>
          <w:sz w:val="40"/>
          <w:szCs w:val="40"/>
          <w:lang w:bidi="ar-DZ"/>
        </w:rPr>
        <w:t>"</w:t>
      </w:r>
      <w:r w:rsidRPr="00627F97">
        <w:rPr>
          <w:rFonts w:ascii="Traditional Arabic" w:hAnsi="Traditional Arabic" w:cs="Traditional Arabic"/>
          <w:sz w:val="40"/>
          <w:szCs w:val="40"/>
          <w:rtl/>
        </w:rPr>
        <w:t>خواصِّ النَّسيج اللُّغوي، وتنبثق منه؛ فإنَّ البحث عن بعض هذه الخواص ينبغي أن يتركَّز في الوحدات المكوِّنة للنَّص، وكيفيَّة بروزها وعلائقها</w:t>
      </w:r>
      <w:r w:rsidRPr="00627F97">
        <w:rPr>
          <w:rFonts w:ascii="Traditional Arabic" w:hAnsi="Traditional Arabic" w:cs="Traditional Arabic"/>
          <w:sz w:val="40"/>
          <w:szCs w:val="40"/>
          <w:lang w:bidi="ar-DZ"/>
        </w:rPr>
        <w:t>"</w:t>
      </w:r>
      <w:bookmarkStart w:id="0" w:name="_ftnref19"/>
      <w:r w:rsidRPr="00627F97">
        <w:rPr>
          <w:rStyle w:val="Appelnotedebasdep"/>
          <w:rFonts w:ascii="Traditional Arabic" w:hAnsi="Traditional Arabic" w:cs="Traditional Arabic"/>
          <w:sz w:val="40"/>
          <w:szCs w:val="40"/>
          <w:lang w:bidi="ar-DZ"/>
        </w:rPr>
        <w:footnoteReference w:id="12"/>
      </w:r>
      <w:r w:rsidRPr="00627F97">
        <w:rPr>
          <w:rFonts w:ascii="Traditional Arabic" w:hAnsi="Traditional Arabic" w:cs="Traditional Arabic"/>
          <w:sz w:val="40"/>
          <w:szCs w:val="40"/>
          <w:rtl/>
          <w:lang w:bidi="ar-DZ"/>
        </w:rPr>
        <w:t>.</w:t>
      </w:r>
      <w:bookmarkEnd w:id="0"/>
      <w:r w:rsidRPr="00627F97">
        <w:rPr>
          <w:rFonts w:ascii="Traditional Arabic" w:hAnsi="Traditional Arabic" w:cs="Traditional Arabic"/>
          <w:sz w:val="40"/>
          <w:szCs w:val="40"/>
          <w:rtl/>
        </w:rPr>
        <w:t xml:space="preserve"> أمَّا فيما يتَّصِل </w:t>
      </w:r>
      <w:r w:rsidRPr="00627F97">
        <w:rPr>
          <w:rFonts w:ascii="Traditional Arabic" w:hAnsi="Traditional Arabic" w:cs="Traditional Arabic"/>
          <w:sz w:val="40"/>
          <w:szCs w:val="40"/>
          <w:lang w:bidi="ar-DZ"/>
        </w:rPr>
        <w:t>"</w:t>
      </w:r>
      <w:r w:rsidRPr="00627F97">
        <w:rPr>
          <w:rFonts w:ascii="Traditional Arabic" w:hAnsi="Traditional Arabic" w:cs="Traditional Arabic"/>
          <w:sz w:val="40"/>
          <w:szCs w:val="40"/>
          <w:rtl/>
        </w:rPr>
        <w:t>بالأثر الجماليِّ، أو تحليل المتلقي للخطاب.</w:t>
      </w:r>
    </w:p>
    <w:p w:rsidR="00FC48DE" w:rsidRPr="00627F97" w:rsidRDefault="00FC48DE" w:rsidP="00FC48DE">
      <w:pPr>
        <w:bidi/>
        <w:spacing w:line="240" w:lineRule="auto"/>
        <w:ind w:firstLine="708"/>
        <w:rPr>
          <w:rFonts w:ascii="Traditional Arabic" w:hAnsi="Traditional Arabic" w:cs="Traditional Arabic"/>
          <w:sz w:val="40"/>
          <w:szCs w:val="40"/>
          <w:lang w:bidi="ar-DZ"/>
        </w:rPr>
      </w:pPr>
      <w:r w:rsidRPr="00627F97">
        <w:rPr>
          <w:rFonts w:ascii="Traditional Arabic" w:hAnsi="Traditional Arabic" w:cs="Traditional Arabic"/>
          <w:b/>
          <w:bCs/>
          <w:sz w:val="40"/>
          <w:szCs w:val="40"/>
          <w:rtl/>
        </w:rPr>
        <w:t>بين البلاغة ولسانيَّات النص</w:t>
      </w:r>
      <w:r w:rsidRPr="00627F97">
        <w:rPr>
          <w:rFonts w:ascii="Traditional Arabic" w:hAnsi="Traditional Arabic" w:cs="Traditional Arabic"/>
          <w:b/>
          <w:bCs/>
          <w:sz w:val="40"/>
          <w:szCs w:val="40"/>
          <w:lang w:bidi="ar-DZ"/>
        </w:rPr>
        <w:t>:</w:t>
      </w:r>
    </w:p>
    <w:p w:rsidR="00FC48DE" w:rsidRPr="00627F97" w:rsidRDefault="00FC48DE" w:rsidP="00FC48DE">
      <w:pPr>
        <w:bidi/>
        <w:spacing w:line="240" w:lineRule="auto"/>
        <w:ind w:firstLine="708"/>
        <w:jc w:val="both"/>
        <w:rPr>
          <w:rFonts w:ascii="Traditional Arabic" w:hAnsi="Traditional Arabic" w:cs="Traditional Arabic"/>
          <w:sz w:val="40"/>
          <w:szCs w:val="40"/>
          <w:lang w:bidi="ar-DZ"/>
        </w:rPr>
      </w:pPr>
      <w:r w:rsidRPr="00627F97">
        <w:rPr>
          <w:rFonts w:ascii="Traditional Arabic" w:hAnsi="Traditional Arabic" w:cs="Traditional Arabic"/>
          <w:sz w:val="40"/>
          <w:szCs w:val="40"/>
          <w:rtl/>
        </w:rPr>
        <w:t>في الحديث عن البلاغة ولسانيات النص، لا بدَّ من الإشارة إلى التَّقارُبِ المنهجيِّ بينهما في النَّظرة إلى النصوص بصفةٍ عامة؛ فبينهما نقاطُ تَلاقٍ كثيرةٌ، وفي هذا يقول أ.د/ سعيد حسن بحيرى</w:t>
      </w:r>
      <w:r w:rsidRPr="00627F97">
        <w:rPr>
          <w:rFonts w:ascii="Traditional Arabic" w:hAnsi="Traditional Arabic" w:cs="Traditional Arabic"/>
          <w:sz w:val="40"/>
          <w:szCs w:val="40"/>
          <w:lang w:bidi="ar-DZ"/>
        </w:rPr>
        <w:t>: "</w:t>
      </w:r>
      <w:r w:rsidRPr="00627F97">
        <w:rPr>
          <w:rFonts w:ascii="Traditional Arabic" w:hAnsi="Traditional Arabic" w:cs="Traditional Arabic"/>
          <w:sz w:val="40"/>
          <w:szCs w:val="40"/>
          <w:rtl/>
        </w:rPr>
        <w:t xml:space="preserve">لا يَخفى أنَّ لِمُناقشتِنا لحدودِ البلاغة وعلاقتها </w:t>
      </w:r>
      <w:r w:rsidRPr="00627F97">
        <w:rPr>
          <w:rFonts w:ascii="Traditional Arabic" w:hAnsi="Traditional Arabic" w:cs="Traditional Arabic"/>
          <w:sz w:val="40"/>
          <w:szCs w:val="40"/>
          <w:rtl/>
        </w:rPr>
        <w:lastRenderedPageBreak/>
        <w:t>بعلم لغةِ النصِّ دلالةً واضحة على الصِّلة بينهما إلى الحدِّ الذي جعلَ بعض الباحثين يعدُّها السابقةَ التاريخيَّة لعلم النص</w:t>
      </w:r>
      <w:r w:rsidRPr="00627F97">
        <w:rPr>
          <w:rStyle w:val="Appelnotedebasdep"/>
          <w:rFonts w:ascii="Traditional Arabic" w:hAnsi="Traditional Arabic" w:cs="Traditional Arabic"/>
          <w:sz w:val="40"/>
          <w:szCs w:val="40"/>
          <w:rtl/>
        </w:rPr>
        <w:footnoteReference w:id="13"/>
      </w:r>
      <w:r w:rsidRPr="00627F97">
        <w:rPr>
          <w:rFonts w:ascii="Traditional Arabic" w:hAnsi="Traditional Arabic" w:cs="Traditional Arabic"/>
          <w:sz w:val="40"/>
          <w:szCs w:val="40"/>
          <w:lang w:bidi="ar-DZ"/>
        </w:rPr>
        <w:t>"</w:t>
      </w:r>
      <w:r w:rsidRPr="00627F97">
        <w:rPr>
          <w:rFonts w:ascii="Traditional Arabic" w:hAnsi="Traditional Arabic" w:cs="Traditional Arabic"/>
          <w:sz w:val="40"/>
          <w:szCs w:val="40"/>
          <w:rtl/>
        </w:rPr>
        <w:t>، وهذا يوضح بجلاء العلاقةَ بينَهما في التعامل مع النصِّ الأدبي في شتَّى تمظهراته، وهذا ما يَدْفعنا - على حسب قول فانديك - إلى القول بأنَّ </w:t>
      </w:r>
      <w:r w:rsidRPr="00627F97">
        <w:rPr>
          <w:rFonts w:ascii="Traditional Arabic" w:hAnsi="Traditional Arabic" w:cs="Traditional Arabic"/>
          <w:sz w:val="40"/>
          <w:szCs w:val="40"/>
          <w:lang w:bidi="ar-DZ"/>
        </w:rPr>
        <w:t>"</w:t>
      </w:r>
      <w:r w:rsidRPr="00627F97">
        <w:rPr>
          <w:rFonts w:ascii="Traditional Arabic" w:hAnsi="Traditional Arabic" w:cs="Traditional Arabic"/>
          <w:sz w:val="40"/>
          <w:szCs w:val="40"/>
          <w:rtl/>
        </w:rPr>
        <w:t>البلاغة هي السابقة التاريخيَّة لعلم النص، إذا نحن أخَذْنا في الاعتبار توجُّهَها العامَّ، المتمثِّلَ في وصف النُّصوص وتحديد وظائفها المتعدِّدة</w:t>
      </w:r>
      <w:r w:rsidRPr="00627F97">
        <w:rPr>
          <w:rFonts w:ascii="Traditional Arabic" w:hAnsi="Traditional Arabic" w:cs="Traditional Arabic"/>
          <w:sz w:val="40"/>
          <w:szCs w:val="40"/>
          <w:lang w:bidi="ar-DZ"/>
        </w:rPr>
        <w:t>"</w:t>
      </w:r>
      <w:r w:rsidRPr="00627F97">
        <w:rPr>
          <w:rStyle w:val="Appelnotedebasdep"/>
          <w:rFonts w:ascii="Traditional Arabic" w:hAnsi="Traditional Arabic" w:cs="Traditional Arabic"/>
          <w:sz w:val="40"/>
          <w:szCs w:val="40"/>
          <w:lang w:bidi="ar-DZ"/>
        </w:rPr>
        <w:footnoteReference w:id="14"/>
      </w:r>
      <w:r w:rsidRPr="00627F97">
        <w:rPr>
          <w:rFonts w:ascii="Traditional Arabic" w:hAnsi="Traditional Arabic" w:cs="Traditional Arabic"/>
          <w:sz w:val="40"/>
          <w:szCs w:val="40"/>
          <w:lang w:bidi="ar-DZ"/>
        </w:rPr>
        <w:t>.</w:t>
      </w:r>
    </w:p>
    <w:p w:rsidR="00FC48DE" w:rsidRPr="00627F97" w:rsidRDefault="00FC48DE" w:rsidP="00FC48DE">
      <w:pPr>
        <w:bidi/>
        <w:spacing w:line="240" w:lineRule="auto"/>
        <w:ind w:firstLine="708"/>
        <w:jc w:val="both"/>
        <w:rPr>
          <w:rFonts w:ascii="Traditional Arabic" w:hAnsi="Traditional Arabic" w:cs="Traditional Arabic"/>
          <w:sz w:val="40"/>
          <w:szCs w:val="40"/>
          <w:lang w:bidi="ar-DZ"/>
        </w:rPr>
      </w:pPr>
      <w:r w:rsidRPr="00627F97">
        <w:rPr>
          <w:rFonts w:ascii="Traditional Arabic" w:hAnsi="Traditional Arabic" w:cs="Traditional Arabic"/>
          <w:sz w:val="40"/>
          <w:szCs w:val="40"/>
          <w:rtl/>
        </w:rPr>
        <w:t>ويَنبغي أن يُشار هنا إلى أنَّ كثيرًا من الأفكار التي تبَنَّتْها لسانيَّاتُ النَّص، والنظراتُ النصِّية بزغَتْ </w:t>
      </w:r>
      <w:r w:rsidRPr="00627F97">
        <w:rPr>
          <w:rFonts w:ascii="Traditional Arabic" w:hAnsi="Traditional Arabic" w:cs="Traditional Arabic"/>
          <w:sz w:val="40"/>
          <w:szCs w:val="40"/>
          <w:lang w:bidi="ar-DZ"/>
        </w:rPr>
        <w:t>"</w:t>
      </w:r>
      <w:r w:rsidRPr="00627F97">
        <w:rPr>
          <w:rFonts w:ascii="Traditional Arabic" w:hAnsi="Traditional Arabic" w:cs="Traditional Arabic"/>
          <w:sz w:val="40"/>
          <w:szCs w:val="40"/>
          <w:rtl/>
        </w:rPr>
        <w:t>من بُحوثٍ في البلاغة القديمة؛ إذْ إنَّ البحث في مُمارسة الخطاب</w:t>
      </w:r>
      <w:r w:rsidRPr="00627F97">
        <w:rPr>
          <w:rFonts w:ascii="Traditional Arabic" w:hAnsi="Traditional Arabic" w:cs="Traditional Arabic"/>
          <w:sz w:val="40"/>
          <w:szCs w:val="40"/>
          <w:lang w:bidi="ar-DZ"/>
        </w:rPr>
        <w:t xml:space="preserve"> (</w:t>
      </w:r>
      <w:r w:rsidRPr="00627F97">
        <w:rPr>
          <w:rFonts w:ascii="Traditional Arabic" w:hAnsi="Traditional Arabic" w:cs="Traditional Arabic"/>
          <w:sz w:val="40"/>
          <w:szCs w:val="40"/>
          <w:rtl/>
        </w:rPr>
        <w:t>الكلام</w:t>
      </w:r>
      <w:r w:rsidRPr="00627F97">
        <w:rPr>
          <w:rFonts w:ascii="Traditional Arabic" w:hAnsi="Traditional Arabic" w:cs="Traditional Arabic"/>
          <w:sz w:val="40"/>
          <w:szCs w:val="40"/>
          <w:lang w:bidi="ar-DZ"/>
        </w:rPr>
        <w:t xml:space="preserve">) </w:t>
      </w:r>
      <w:r w:rsidRPr="00627F97">
        <w:rPr>
          <w:rFonts w:ascii="Traditional Arabic" w:hAnsi="Traditional Arabic" w:cs="Traditional Arabic"/>
          <w:sz w:val="40"/>
          <w:szCs w:val="40"/>
          <w:rtl/>
        </w:rPr>
        <w:t>في البلاغة القديمة يضمُّ عددًا من النَّظرات والقواعد الخاصَّة بتنظيم نصوصٍ محدَّدة - إذْ إنَّه قد استُخْدِمت في المباحث المتعلِّقة بترتيب الكلام وزخرفته قواعِدُ بناءٍ محدّدة للنُّصوص؛ لأهدافٍ بلاغيَّة محدَّدة</w:t>
      </w:r>
      <w:r w:rsidRPr="00627F97">
        <w:rPr>
          <w:rFonts w:ascii="Traditional Arabic" w:hAnsi="Traditional Arabic" w:cs="Traditional Arabic"/>
          <w:sz w:val="40"/>
          <w:szCs w:val="40"/>
          <w:lang w:bidi="ar-DZ"/>
        </w:rPr>
        <w:t>"</w:t>
      </w:r>
      <w:r w:rsidRPr="00627F97">
        <w:rPr>
          <w:rStyle w:val="Appelnotedebasdep"/>
          <w:rFonts w:ascii="Traditional Arabic" w:hAnsi="Traditional Arabic" w:cs="Traditional Arabic"/>
          <w:sz w:val="40"/>
          <w:szCs w:val="40"/>
          <w:lang w:bidi="ar-DZ"/>
        </w:rPr>
        <w:footnoteReference w:id="15"/>
      </w:r>
      <w:r w:rsidRPr="00627F97">
        <w:rPr>
          <w:rFonts w:ascii="Traditional Arabic" w:hAnsi="Traditional Arabic" w:cs="Traditional Arabic"/>
          <w:sz w:val="40"/>
          <w:szCs w:val="40"/>
          <w:lang w:bidi="ar-DZ"/>
        </w:rPr>
        <w:t>.</w:t>
      </w:r>
    </w:p>
    <w:p w:rsidR="00FC48DE" w:rsidRPr="00627F97" w:rsidRDefault="00FC48DE" w:rsidP="00FC48DE">
      <w:pPr>
        <w:bidi/>
        <w:spacing w:line="240" w:lineRule="auto"/>
        <w:ind w:firstLine="708"/>
        <w:jc w:val="both"/>
        <w:rPr>
          <w:rFonts w:ascii="Traditional Arabic" w:hAnsi="Traditional Arabic" w:cs="Traditional Arabic"/>
          <w:sz w:val="40"/>
          <w:szCs w:val="40"/>
          <w:lang w:bidi="ar-DZ"/>
        </w:rPr>
      </w:pPr>
      <w:r w:rsidRPr="00627F97">
        <w:rPr>
          <w:rFonts w:ascii="Traditional Arabic" w:hAnsi="Traditional Arabic" w:cs="Traditional Arabic"/>
          <w:sz w:val="40"/>
          <w:szCs w:val="40"/>
          <w:rtl/>
        </w:rPr>
        <w:t>ويُضاف إلى ما سبق أنَّ البلاغة تتوجَّه </w:t>
      </w:r>
      <w:r w:rsidRPr="00627F97">
        <w:rPr>
          <w:rFonts w:ascii="Traditional Arabic" w:hAnsi="Traditional Arabic" w:cs="Traditional Arabic"/>
          <w:sz w:val="40"/>
          <w:szCs w:val="40"/>
          <w:lang w:bidi="ar-DZ"/>
        </w:rPr>
        <w:t>"</w:t>
      </w:r>
      <w:r w:rsidRPr="00627F97">
        <w:rPr>
          <w:rFonts w:ascii="Traditional Arabic" w:hAnsi="Traditional Arabic" w:cs="Traditional Arabic"/>
          <w:sz w:val="40"/>
          <w:szCs w:val="40"/>
          <w:rtl/>
        </w:rPr>
        <w:t>إلى المستمِع أو القارئ لتؤثِّر فيه، وتلك العلاقة ذات خصوصيَّة في البحث اللُّغوي النصِّي</w:t>
      </w:r>
      <w:r w:rsidRPr="00627F97">
        <w:rPr>
          <w:rStyle w:val="Appelnotedebasdep"/>
          <w:rFonts w:ascii="Traditional Arabic" w:hAnsi="Traditional Arabic" w:cs="Traditional Arabic"/>
          <w:sz w:val="40"/>
          <w:szCs w:val="40"/>
          <w:rtl/>
        </w:rPr>
        <w:footnoteReference w:id="16"/>
      </w:r>
      <w:r w:rsidRPr="00627F97">
        <w:rPr>
          <w:rFonts w:ascii="Traditional Arabic" w:hAnsi="Traditional Arabic" w:cs="Traditional Arabic"/>
          <w:sz w:val="40"/>
          <w:szCs w:val="40"/>
          <w:lang w:bidi="ar-DZ"/>
        </w:rPr>
        <w:t>"</w:t>
      </w:r>
      <w:r w:rsidRPr="00627F97">
        <w:rPr>
          <w:rFonts w:ascii="Traditional Arabic" w:hAnsi="Traditional Arabic" w:cs="Traditional Arabic"/>
          <w:sz w:val="40"/>
          <w:szCs w:val="40"/>
          <w:rtl/>
        </w:rPr>
        <w:t>، وما تزال قواعِدُ بناء النصِّ البلاغيَّةُ ضروريَّةً، ولا يمكن الاستغناءُ عنها في دراسة النَّص، وبخاصَّة دراسة النصِّ الشِّعري بِمَفهومه الواسع</w:t>
      </w:r>
      <w:r w:rsidRPr="00627F97">
        <w:rPr>
          <w:rFonts w:ascii="Traditional Arabic" w:hAnsi="Traditional Arabic" w:cs="Traditional Arabic"/>
          <w:sz w:val="40"/>
          <w:szCs w:val="40"/>
          <w:lang w:bidi="ar-DZ"/>
        </w:rPr>
        <w:t>.</w:t>
      </w:r>
    </w:p>
    <w:p w:rsidR="00FC48DE" w:rsidRPr="00627F97" w:rsidRDefault="00FC48DE" w:rsidP="00FC48DE">
      <w:pPr>
        <w:bidi/>
        <w:spacing w:line="240" w:lineRule="auto"/>
        <w:ind w:firstLine="708"/>
        <w:rPr>
          <w:rFonts w:ascii="Traditional Arabic" w:hAnsi="Traditional Arabic" w:cs="Traditional Arabic"/>
          <w:sz w:val="40"/>
          <w:szCs w:val="40"/>
          <w:lang w:bidi="ar-DZ"/>
        </w:rPr>
      </w:pPr>
      <w:r w:rsidRPr="00627F97">
        <w:rPr>
          <w:rFonts w:ascii="Traditional Arabic" w:hAnsi="Traditional Arabic" w:cs="Traditional Arabic"/>
          <w:b/>
          <w:bCs/>
          <w:sz w:val="40"/>
          <w:szCs w:val="40"/>
          <w:rtl/>
        </w:rPr>
        <w:t>علم البَلاغة نموذجٌ جديد لتحليل الخِطاب</w:t>
      </w:r>
      <w:r w:rsidRPr="00627F97">
        <w:rPr>
          <w:rFonts w:ascii="Traditional Arabic" w:hAnsi="Traditional Arabic" w:cs="Traditional Arabic"/>
          <w:b/>
          <w:bCs/>
          <w:sz w:val="40"/>
          <w:szCs w:val="40"/>
          <w:lang w:bidi="ar-DZ"/>
        </w:rPr>
        <w:t>:</w:t>
      </w:r>
    </w:p>
    <w:p w:rsidR="00FC48DE" w:rsidRPr="00627F97" w:rsidRDefault="00FC48DE" w:rsidP="00FC48DE">
      <w:pPr>
        <w:bidi/>
        <w:spacing w:line="240" w:lineRule="auto"/>
        <w:ind w:firstLine="708"/>
        <w:jc w:val="both"/>
        <w:rPr>
          <w:rFonts w:ascii="Traditional Arabic" w:hAnsi="Traditional Arabic" w:cs="Traditional Arabic"/>
          <w:sz w:val="40"/>
          <w:szCs w:val="40"/>
          <w:lang w:bidi="ar-DZ"/>
        </w:rPr>
      </w:pPr>
      <w:r w:rsidRPr="00627F97">
        <w:rPr>
          <w:rFonts w:ascii="Traditional Arabic" w:hAnsi="Traditional Arabic" w:cs="Traditional Arabic"/>
          <w:sz w:val="40"/>
          <w:szCs w:val="40"/>
          <w:rtl/>
        </w:rPr>
        <w:t>في البداية، أرَدْنا أن نقرِّر بأنَّ </w:t>
      </w:r>
      <w:r w:rsidRPr="00627F97">
        <w:rPr>
          <w:rFonts w:ascii="Traditional Arabic" w:hAnsi="Traditional Arabic" w:cs="Traditional Arabic"/>
          <w:sz w:val="40"/>
          <w:szCs w:val="40"/>
          <w:lang w:bidi="ar-DZ"/>
        </w:rPr>
        <w:t>"</w:t>
      </w:r>
      <w:r w:rsidRPr="00627F97">
        <w:rPr>
          <w:rFonts w:ascii="Traditional Arabic" w:hAnsi="Traditional Arabic" w:cs="Traditional Arabic"/>
          <w:sz w:val="40"/>
          <w:szCs w:val="40"/>
          <w:rtl/>
        </w:rPr>
        <w:t>معرفة طرق التَّناسب بين المسموعات والمفهومات لا يُوصَلُ إليها بشيءٍ من علوم اللِّسان إلاَّ بالعلم الكلِّي في ذلك، وهو علم البلاغة</w:t>
      </w:r>
      <w:r w:rsidRPr="00627F97">
        <w:rPr>
          <w:rStyle w:val="Appelnotedebasdep"/>
          <w:rFonts w:ascii="Traditional Arabic" w:hAnsi="Traditional Arabic" w:cs="Traditional Arabic"/>
          <w:sz w:val="40"/>
          <w:szCs w:val="40"/>
          <w:rtl/>
        </w:rPr>
        <w:footnoteReference w:id="17"/>
      </w:r>
      <w:r w:rsidRPr="00627F97">
        <w:rPr>
          <w:rFonts w:ascii="Traditional Arabic" w:hAnsi="Traditional Arabic" w:cs="Traditional Arabic"/>
          <w:sz w:val="40"/>
          <w:szCs w:val="40"/>
          <w:lang w:bidi="ar-DZ"/>
        </w:rPr>
        <w:t>"</w:t>
      </w:r>
      <w:r w:rsidRPr="00627F97">
        <w:rPr>
          <w:rFonts w:ascii="Traditional Arabic" w:hAnsi="Traditional Arabic" w:cs="Traditional Arabic"/>
          <w:sz w:val="40"/>
          <w:szCs w:val="40"/>
          <w:rtl/>
        </w:rPr>
        <w:t xml:space="preserve">، فلا عجبَ أنَّه منذ النِّصف الثَّاني من القرن العشرين ظهرَتْ في </w:t>
      </w:r>
      <w:r w:rsidRPr="00627F97">
        <w:rPr>
          <w:rFonts w:ascii="Traditional Arabic" w:hAnsi="Traditional Arabic" w:cs="Traditional Arabic"/>
          <w:sz w:val="40"/>
          <w:szCs w:val="40"/>
          <w:rtl/>
        </w:rPr>
        <w:lastRenderedPageBreak/>
        <w:t>الغرب أصواتٌ تنبِّه إلى خطورةِ اختزال إمبراطوريَّة البَلاغة في المستوى الأسلوبي أو المُحسِّنات، ونَجِد جيرار جنيت </w:t>
      </w:r>
      <w:r w:rsidRPr="00627F97">
        <w:rPr>
          <w:rFonts w:ascii="Traditional Arabic" w:hAnsi="Traditional Arabic" w:cs="Traditional Arabic"/>
          <w:sz w:val="40"/>
          <w:szCs w:val="40"/>
          <w:lang w:bidi="ar-DZ"/>
        </w:rPr>
        <w:t xml:space="preserve">G. Genette" </w:t>
      </w:r>
      <w:r w:rsidRPr="00627F97">
        <w:rPr>
          <w:rFonts w:ascii="Traditional Arabic" w:hAnsi="Traditional Arabic" w:cs="Traditional Arabic"/>
          <w:sz w:val="40"/>
          <w:szCs w:val="40"/>
          <w:rtl/>
        </w:rPr>
        <w:t>ألَّف مقالاً أَسْماه البلاغةَ المختزَلة </w:t>
      </w:r>
      <w:r w:rsidRPr="00627F97">
        <w:rPr>
          <w:rFonts w:ascii="Traditional Arabic" w:hAnsi="Traditional Arabic" w:cs="Traditional Arabic"/>
          <w:sz w:val="40"/>
          <w:szCs w:val="40"/>
          <w:lang w:bidi="ar-DZ"/>
        </w:rPr>
        <w:t>(La Rhétorique restreinte)</w:t>
      </w:r>
      <w:r w:rsidRPr="00627F97">
        <w:rPr>
          <w:rFonts w:ascii="Traditional Arabic" w:hAnsi="Traditional Arabic" w:cs="Traditional Arabic"/>
          <w:sz w:val="40"/>
          <w:szCs w:val="40"/>
          <w:rtl/>
        </w:rPr>
        <w:t>، حَظِي بمكانةٍ خاصَّة في التَّنظير البلاغي الحديث، مُحاوِلاً فيه إبرازَ الانزياح الذي حدثَ في تاريخ البلاغة عندما تمَّ النظر إليها من خلال جزءٍ من أجزائها هو الأسلوب</w:t>
      </w:r>
      <w:r w:rsidRPr="00627F97">
        <w:rPr>
          <w:rFonts w:ascii="Traditional Arabic" w:hAnsi="Traditional Arabic" w:cs="Traditional Arabic"/>
          <w:sz w:val="40"/>
          <w:szCs w:val="40"/>
          <w:lang w:bidi="ar-DZ"/>
        </w:rPr>
        <w:t>"</w:t>
      </w:r>
      <w:bookmarkStart w:id="1" w:name="_ftnref27"/>
      <w:r w:rsidRPr="00627F97">
        <w:rPr>
          <w:rStyle w:val="Appelnotedebasdep"/>
          <w:rFonts w:ascii="Traditional Arabic" w:hAnsi="Traditional Arabic" w:cs="Traditional Arabic"/>
          <w:sz w:val="40"/>
          <w:szCs w:val="40"/>
          <w:lang w:bidi="ar-DZ"/>
        </w:rPr>
        <w:footnoteReference w:id="18"/>
      </w:r>
      <w:r w:rsidRPr="00627F97">
        <w:rPr>
          <w:rFonts w:ascii="Traditional Arabic" w:hAnsi="Traditional Arabic" w:cs="Traditional Arabic"/>
          <w:sz w:val="40"/>
          <w:szCs w:val="40"/>
          <w:rtl/>
          <w:lang w:bidi="ar-DZ"/>
        </w:rPr>
        <w:t>.</w:t>
      </w:r>
      <w:bookmarkEnd w:id="1"/>
    </w:p>
    <w:p w:rsidR="00FC48DE" w:rsidRPr="00627F97" w:rsidRDefault="00FC48DE" w:rsidP="00FC48DE">
      <w:pPr>
        <w:bidi/>
        <w:spacing w:line="240" w:lineRule="auto"/>
        <w:ind w:firstLine="708"/>
        <w:jc w:val="both"/>
        <w:rPr>
          <w:rFonts w:ascii="Traditional Arabic" w:hAnsi="Traditional Arabic" w:cs="Traditional Arabic"/>
          <w:sz w:val="40"/>
          <w:szCs w:val="40"/>
          <w:lang w:bidi="ar-DZ"/>
        </w:rPr>
      </w:pPr>
      <w:r w:rsidRPr="00627F97">
        <w:rPr>
          <w:rFonts w:ascii="Traditional Arabic" w:hAnsi="Traditional Arabic" w:cs="Traditional Arabic"/>
          <w:sz w:val="40"/>
          <w:szCs w:val="40"/>
          <w:rtl/>
        </w:rPr>
        <w:t>وعندما ننتقل إلى التَّنظير العربيِّ البلاغي الحديث، نُفاجأ بقلَّة الدِّراسات التي اهتمَّتْ بتدقيق المُصطلَح البلاغيِّ، بل إنَّ إلقاء نظرةٍ على المقرَّرات الجامعيَّة والمَدْرسية تُثْبِت مدى استمراريَّة السَّطو على الميراث البلاغيِّ من خلال علومٍ تتَّخِذ مسمَّياتٍ متعدِّدة؛ فهي سيميولوجيا، وأسلوبيَّة، ولسانيَّات، وهي مَنْطق وجدل... إلخ، وكان الدكتور محمد العمري - فيما أعلم - من أوائلِ مَن نبَّه إلى خطأ المفهوم الشَّائع للبلاغة في السَّاحة الأدبيَّة والتعليمية العربية، وهو خطأ ناجمٌ عن اعتِماد شروح التَّلخيص التي انصبَّتْ على عمل السكَّاكي </w:t>
      </w:r>
      <w:r w:rsidRPr="00627F97">
        <w:rPr>
          <w:rFonts w:ascii="Traditional Arabic" w:hAnsi="Traditional Arabic" w:cs="Traditional Arabic"/>
          <w:sz w:val="40"/>
          <w:szCs w:val="40"/>
          <w:lang w:bidi="ar-DZ"/>
        </w:rPr>
        <w:t>"</w:t>
      </w:r>
      <w:r w:rsidRPr="00627F97">
        <w:rPr>
          <w:rFonts w:ascii="Traditional Arabic" w:hAnsi="Traditional Arabic" w:cs="Traditional Arabic"/>
          <w:sz w:val="40"/>
          <w:szCs w:val="40"/>
          <w:rtl/>
        </w:rPr>
        <w:t>مفتاح العلوم</w:t>
      </w:r>
      <w:r w:rsidRPr="00627F97">
        <w:rPr>
          <w:rFonts w:ascii="Traditional Arabic" w:hAnsi="Traditional Arabic" w:cs="Traditional Arabic"/>
          <w:sz w:val="40"/>
          <w:szCs w:val="40"/>
          <w:lang w:bidi="ar-DZ"/>
        </w:rPr>
        <w:t>".</w:t>
      </w:r>
    </w:p>
    <w:p w:rsidR="00FC48DE" w:rsidRPr="00627F97" w:rsidRDefault="00FC48DE" w:rsidP="00FC48DE">
      <w:pPr>
        <w:bidi/>
        <w:spacing w:line="240" w:lineRule="auto"/>
        <w:ind w:firstLine="708"/>
        <w:jc w:val="both"/>
        <w:rPr>
          <w:rFonts w:ascii="Traditional Arabic" w:hAnsi="Traditional Arabic" w:cs="Traditional Arabic"/>
          <w:sz w:val="40"/>
          <w:szCs w:val="40"/>
          <w:lang w:bidi="ar-DZ"/>
        </w:rPr>
      </w:pPr>
      <w:r w:rsidRPr="00627F97">
        <w:rPr>
          <w:rFonts w:ascii="Traditional Arabic" w:hAnsi="Traditional Arabic" w:cs="Traditional Arabic"/>
          <w:sz w:val="40"/>
          <w:szCs w:val="40"/>
          <w:rtl/>
        </w:rPr>
        <w:t>إلى بلاغة الحِجَاج </w:t>
      </w:r>
      <w:r w:rsidRPr="00627F97">
        <w:rPr>
          <w:rFonts w:ascii="Traditional Arabic" w:hAnsi="Traditional Arabic" w:cs="Traditional Arabic"/>
          <w:sz w:val="40"/>
          <w:szCs w:val="40"/>
          <w:lang w:bidi="ar-DZ"/>
        </w:rPr>
        <w:t>(</w:t>
      </w:r>
      <w:r w:rsidRPr="00627F97">
        <w:rPr>
          <w:rFonts w:ascii="Traditional Arabic" w:hAnsi="Traditional Arabic" w:cs="Traditional Arabic"/>
          <w:sz w:val="40"/>
          <w:szCs w:val="40"/>
          <w:rtl/>
        </w:rPr>
        <w:t>بلاغة الإمتاع، وبلاغة الإقناع</w:t>
      </w:r>
      <w:r w:rsidRPr="00627F97">
        <w:rPr>
          <w:rFonts w:ascii="Traditional Arabic" w:hAnsi="Traditional Arabic" w:cs="Traditional Arabic"/>
          <w:sz w:val="40"/>
          <w:szCs w:val="40"/>
          <w:lang w:bidi="ar-DZ"/>
        </w:rPr>
        <w:t>)</w:t>
      </w:r>
      <w:r w:rsidRPr="00627F97">
        <w:rPr>
          <w:rFonts w:ascii="Traditional Arabic" w:hAnsi="Traditional Arabic" w:cs="Traditional Arabic"/>
          <w:sz w:val="40"/>
          <w:szCs w:val="40"/>
          <w:rtl/>
        </w:rPr>
        <w:t>؛ حيث وقف عند مختلِف العناصر التي تشكِّل قوامَ البلاغة عند أرسطو، والتي لا تعتبر المحسِّنات إلا جزءًا من أجزائه</w:t>
      </w:r>
      <w:r w:rsidRPr="00627F97">
        <w:rPr>
          <w:rStyle w:val="Appelnotedebasdep"/>
          <w:rFonts w:ascii="Traditional Arabic" w:hAnsi="Traditional Arabic" w:cs="Traditional Arabic"/>
          <w:sz w:val="40"/>
          <w:szCs w:val="40"/>
          <w:lang w:bidi="ar-DZ"/>
        </w:rPr>
        <w:footnoteReference w:id="19"/>
      </w:r>
      <w:r w:rsidRPr="00627F97">
        <w:rPr>
          <w:rFonts w:ascii="Traditional Arabic" w:hAnsi="Traditional Arabic" w:cs="Traditional Arabic"/>
          <w:sz w:val="40"/>
          <w:szCs w:val="40"/>
          <w:lang w:bidi="ar-DZ"/>
        </w:rPr>
        <w:t>.</w:t>
      </w:r>
    </w:p>
    <w:p w:rsidR="00FC48DE" w:rsidRPr="00627F97" w:rsidRDefault="00FC48DE" w:rsidP="00FC48DE">
      <w:pPr>
        <w:bidi/>
        <w:spacing w:line="240" w:lineRule="auto"/>
        <w:ind w:firstLine="708"/>
        <w:jc w:val="both"/>
        <w:rPr>
          <w:rFonts w:ascii="Traditional Arabic" w:hAnsi="Traditional Arabic" w:cs="Traditional Arabic"/>
          <w:sz w:val="40"/>
          <w:szCs w:val="40"/>
          <w:lang w:bidi="ar-DZ"/>
        </w:rPr>
      </w:pPr>
      <w:r w:rsidRPr="00627F97">
        <w:rPr>
          <w:rFonts w:ascii="Traditional Arabic" w:hAnsi="Traditional Arabic" w:cs="Traditional Arabic"/>
          <w:sz w:val="40"/>
          <w:szCs w:val="40"/>
          <w:rtl/>
        </w:rPr>
        <w:t>إنَّ هذه المجهوداتِ المبذولةَ اليوم في التنظير البلاغيِّ العربي</w:t>
      </w:r>
      <w:bookmarkStart w:id="2" w:name="_ftnref33"/>
      <w:r w:rsidRPr="00627F97">
        <w:rPr>
          <w:rStyle w:val="Appelnotedebasdep"/>
          <w:rFonts w:ascii="Traditional Arabic" w:hAnsi="Traditional Arabic" w:cs="Traditional Arabic"/>
          <w:sz w:val="40"/>
          <w:szCs w:val="40"/>
          <w:rtl/>
        </w:rPr>
        <w:footnoteReference w:id="20"/>
      </w:r>
      <w:r w:rsidRPr="00627F97">
        <w:rPr>
          <w:rFonts w:ascii="Traditional Arabic" w:hAnsi="Traditional Arabic" w:cs="Traditional Arabic"/>
          <w:sz w:val="40"/>
          <w:szCs w:val="40"/>
          <w:rtl/>
        </w:rPr>
        <w:t>.</w:t>
      </w:r>
      <w:bookmarkEnd w:id="2"/>
      <w:r w:rsidRPr="00627F97">
        <w:rPr>
          <w:rFonts w:ascii="Traditional Arabic" w:hAnsi="Traditional Arabic" w:cs="Traditional Arabic"/>
          <w:sz w:val="40"/>
          <w:szCs w:val="40"/>
          <w:rtl/>
        </w:rPr>
        <w:t xml:space="preserve">من أن تفتح بابًا جديدًا لإعادة قراءة البلاغة العربيَّة القديمة، والكشف عن مكوِّناتها الحجاجيَّة </w:t>
      </w:r>
      <w:r w:rsidRPr="00627F97">
        <w:rPr>
          <w:rFonts w:ascii="Traditional Arabic" w:hAnsi="Traditional Arabic" w:cs="Traditional Arabic"/>
          <w:sz w:val="40"/>
          <w:szCs w:val="40"/>
          <w:rtl/>
        </w:rPr>
        <w:lastRenderedPageBreak/>
        <w:t>والإقناعية والتداولية، خاصةً إذا نظَرْنا إلى الفكر العربيِّ في شموليَّتِه؛ حيث يمكن أن نَجِد تَقاطُعاتٍ عديدةً بين الدَّرس البلاغيِّ وبين علومٍ أخرى؛ كالنَّحو، وعلم والكلام، والتفسير، والمنطق</w:t>
      </w:r>
      <w:r w:rsidRPr="00627F97">
        <w:rPr>
          <w:rFonts w:ascii="Traditional Arabic" w:hAnsi="Traditional Arabic" w:cs="Traditional Arabic"/>
          <w:sz w:val="40"/>
          <w:szCs w:val="40"/>
          <w:lang w:bidi="ar-DZ"/>
        </w:rPr>
        <w:t>.</w:t>
      </w:r>
    </w:p>
    <w:p w:rsidR="00FC48DE" w:rsidRPr="00627F97" w:rsidRDefault="00FC48DE" w:rsidP="00FC48DE">
      <w:pPr>
        <w:bidi/>
        <w:spacing w:line="240" w:lineRule="auto"/>
        <w:ind w:firstLine="708"/>
        <w:jc w:val="both"/>
        <w:rPr>
          <w:rFonts w:ascii="Traditional Arabic" w:hAnsi="Traditional Arabic" w:cs="Traditional Arabic"/>
          <w:sz w:val="40"/>
          <w:szCs w:val="40"/>
          <w:lang w:bidi="ar-DZ"/>
        </w:rPr>
      </w:pPr>
      <w:r w:rsidRPr="00627F97">
        <w:rPr>
          <w:rFonts w:ascii="Traditional Arabic" w:hAnsi="Traditional Arabic" w:cs="Traditional Arabic"/>
          <w:sz w:val="40"/>
          <w:szCs w:val="40"/>
          <w:rtl/>
        </w:rPr>
        <w:t>وزيادةً على ما سبق، فإنَّ البلاغة الجديدة ترى </w:t>
      </w:r>
      <w:r w:rsidRPr="00627F97">
        <w:rPr>
          <w:rFonts w:ascii="Traditional Arabic" w:hAnsi="Traditional Arabic" w:cs="Traditional Arabic"/>
          <w:sz w:val="40"/>
          <w:szCs w:val="40"/>
          <w:lang w:bidi="ar-DZ"/>
        </w:rPr>
        <w:t>"</w:t>
      </w:r>
      <w:r w:rsidRPr="00627F97">
        <w:rPr>
          <w:rFonts w:ascii="Traditional Arabic" w:hAnsi="Traditional Arabic" w:cs="Traditional Arabic"/>
          <w:sz w:val="40"/>
          <w:szCs w:val="40"/>
          <w:rtl/>
        </w:rPr>
        <w:t>أنَّ عمليَّة التشكيل تمتدُّ بجناحيها لِتَشمل القول، أو النصَّ بأكمله، وتجعل هذه المقولة من الفصل بينها وبين علم لغة النصِّ أمرًا مستحيلاً</w:t>
      </w:r>
      <w:r w:rsidRPr="00627F97">
        <w:rPr>
          <w:rFonts w:ascii="Traditional Arabic" w:hAnsi="Traditional Arabic" w:cs="Traditional Arabic"/>
          <w:sz w:val="40"/>
          <w:szCs w:val="40"/>
          <w:lang w:bidi="ar-DZ"/>
        </w:rPr>
        <w:t>"</w:t>
      </w:r>
      <w:r w:rsidRPr="00627F97">
        <w:rPr>
          <w:rStyle w:val="Appelnotedebasdep"/>
          <w:rFonts w:ascii="Traditional Arabic" w:hAnsi="Traditional Arabic" w:cs="Traditional Arabic"/>
          <w:sz w:val="40"/>
          <w:szCs w:val="40"/>
          <w:lang w:bidi="ar-DZ"/>
        </w:rPr>
        <w:footnoteReference w:id="21"/>
      </w:r>
      <w:r w:rsidRPr="00627F97">
        <w:rPr>
          <w:rFonts w:ascii="Traditional Arabic" w:hAnsi="Traditional Arabic" w:cs="Traditional Arabic"/>
          <w:sz w:val="40"/>
          <w:szCs w:val="40"/>
          <w:lang w:bidi="ar-DZ"/>
        </w:rPr>
        <w:t>.</w:t>
      </w:r>
    </w:p>
    <w:p w:rsidR="00FC48DE" w:rsidRPr="00627F97" w:rsidRDefault="00FC48DE" w:rsidP="00FC48DE">
      <w:pPr>
        <w:bidi/>
        <w:spacing w:line="240" w:lineRule="auto"/>
        <w:ind w:firstLine="708"/>
        <w:jc w:val="both"/>
        <w:rPr>
          <w:rFonts w:ascii="Traditional Arabic" w:hAnsi="Traditional Arabic" w:cs="Traditional Arabic"/>
          <w:sz w:val="40"/>
          <w:szCs w:val="40"/>
          <w:lang w:bidi="ar-DZ"/>
        </w:rPr>
      </w:pPr>
      <w:r w:rsidRPr="00627F97">
        <w:rPr>
          <w:rFonts w:ascii="Traditional Arabic" w:hAnsi="Traditional Arabic" w:cs="Traditional Arabic"/>
          <w:sz w:val="40"/>
          <w:szCs w:val="40"/>
          <w:rtl/>
        </w:rPr>
        <w:t>أسَّستْ هذه المقوِّمات والخصائصُ مبادِئَ أوليَّة لعِلْم النَّقد العربيِّ البلاغي، فأرسى البلاغيُّون القدامى قواعدَ النَّقد البلاغي، وكانت أبحاثُهم مُنطلَقًا لدراسات نقديَّة لاحقة</w:t>
      </w:r>
      <w:r w:rsidRPr="00627F97">
        <w:rPr>
          <w:rStyle w:val="Appelnotedebasdep"/>
          <w:rFonts w:ascii="Traditional Arabic" w:hAnsi="Traditional Arabic" w:cs="Traditional Arabic"/>
          <w:sz w:val="40"/>
          <w:szCs w:val="40"/>
          <w:rtl/>
        </w:rPr>
        <w:footnoteReference w:id="22"/>
      </w:r>
      <w:r w:rsidRPr="00627F97">
        <w:rPr>
          <w:rFonts w:ascii="Traditional Arabic" w:hAnsi="Traditional Arabic" w:cs="Traditional Arabic"/>
          <w:sz w:val="40"/>
          <w:szCs w:val="40"/>
          <w:lang w:bidi="ar-DZ"/>
        </w:rPr>
        <w:t>"</w:t>
      </w:r>
      <w:r w:rsidRPr="00627F97">
        <w:rPr>
          <w:rFonts w:ascii="Traditional Arabic" w:hAnsi="Traditional Arabic" w:cs="Traditional Arabic"/>
          <w:sz w:val="40"/>
          <w:szCs w:val="40"/>
          <w:rtl/>
        </w:rPr>
        <w:t>، هذه التي أرَدْنا أن نطرحها في هذه الورقة، وإن تسنَّى لنا المجال - في بحثٍ لاحقٍ - سنقوم بجملة من التطبيقات على نصوصٍ قرآنيَّة كريمة؛ لنقفَ على أهمِّ معالم هذه البلاغة العامَّة الجامعة بين القديم والجديد</w:t>
      </w:r>
      <w:r w:rsidRPr="00627F97">
        <w:rPr>
          <w:rFonts w:ascii="Traditional Arabic" w:hAnsi="Traditional Arabic" w:cs="Traditional Arabic"/>
          <w:sz w:val="40"/>
          <w:szCs w:val="40"/>
          <w:lang w:bidi="ar-DZ"/>
        </w:rPr>
        <w:t>.</w:t>
      </w:r>
    </w:p>
    <w:p w:rsidR="00FC48DE" w:rsidRPr="00627F97" w:rsidRDefault="00FC48DE" w:rsidP="00FC48DE">
      <w:pPr>
        <w:bidi/>
        <w:spacing w:line="240" w:lineRule="auto"/>
        <w:ind w:left="708"/>
        <w:rPr>
          <w:rFonts w:ascii="Traditional Arabic" w:hAnsi="Traditional Arabic" w:cs="Traditional Arabic"/>
          <w:b/>
          <w:bCs/>
          <w:sz w:val="40"/>
          <w:szCs w:val="40"/>
          <w:rtl/>
        </w:rPr>
      </w:pPr>
    </w:p>
    <w:p w:rsidR="00850D62" w:rsidRDefault="0075364B"/>
    <w:sectPr w:rsidR="00850D62" w:rsidSect="001D3481">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64B" w:rsidRDefault="0075364B" w:rsidP="00FC48DE">
      <w:pPr>
        <w:spacing w:after="0" w:line="240" w:lineRule="auto"/>
      </w:pPr>
      <w:r>
        <w:separator/>
      </w:r>
    </w:p>
  </w:endnote>
  <w:endnote w:type="continuationSeparator" w:id="1">
    <w:p w:rsidR="0075364B" w:rsidRDefault="0075364B" w:rsidP="00FC48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QuranAlKareem">
    <w:altName w:val="Times New Roman"/>
    <w:charset w:val="00"/>
    <w:family w:val="auto"/>
    <w:pitch w:val="variable"/>
    <w:sig w:usb0="00000000"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62169"/>
      <w:docPartObj>
        <w:docPartGallery w:val="Page Numbers (Bottom of Page)"/>
        <w:docPartUnique/>
      </w:docPartObj>
    </w:sdtPr>
    <w:sdtContent>
      <w:p w:rsidR="00AE27DC" w:rsidRDefault="00AE27DC">
        <w:pPr>
          <w:pStyle w:val="Pieddepage"/>
          <w:jc w:val="center"/>
        </w:pPr>
        <w:fldSimple w:instr=" PAGE   \* MERGEFORMAT ">
          <w:r w:rsidR="0075364B">
            <w:rPr>
              <w:noProof/>
            </w:rPr>
            <w:t>1</w:t>
          </w:r>
        </w:fldSimple>
      </w:p>
    </w:sdtContent>
  </w:sdt>
  <w:p w:rsidR="00AE27DC" w:rsidRDefault="00AE27D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64B" w:rsidRDefault="0075364B" w:rsidP="00FC48DE">
      <w:pPr>
        <w:spacing w:after="0" w:line="240" w:lineRule="auto"/>
      </w:pPr>
      <w:r>
        <w:separator/>
      </w:r>
    </w:p>
  </w:footnote>
  <w:footnote w:type="continuationSeparator" w:id="1">
    <w:p w:rsidR="0075364B" w:rsidRDefault="0075364B" w:rsidP="00FC48DE">
      <w:pPr>
        <w:spacing w:after="0" w:line="240" w:lineRule="auto"/>
      </w:pPr>
      <w:r>
        <w:continuationSeparator/>
      </w:r>
    </w:p>
  </w:footnote>
  <w:footnote w:id="2">
    <w:p w:rsidR="00FC48DE" w:rsidRPr="00D203AD" w:rsidRDefault="00FC48DE" w:rsidP="00FC48DE">
      <w:pPr>
        <w:pStyle w:val="Notedebasdepage"/>
        <w:rPr>
          <w:rFonts w:ascii="Traditional Arabic" w:hAnsi="Traditional Arabic" w:cs="Traditional Arabic"/>
          <w:sz w:val="28"/>
          <w:szCs w:val="28"/>
          <w:rtl/>
          <w:lang w:bidi="ar-DZ"/>
        </w:rPr>
      </w:pPr>
      <w:r w:rsidRPr="00D203AD">
        <w:rPr>
          <w:rStyle w:val="Appelnotedebasdep"/>
          <w:rFonts w:ascii="Traditional Arabic" w:eastAsiaTheme="minorEastAsia" w:hAnsi="Traditional Arabic" w:cs="Traditional Arabic"/>
          <w:sz w:val="28"/>
          <w:szCs w:val="28"/>
        </w:rPr>
        <w:footnoteRef/>
      </w:r>
      <w:r w:rsidRPr="00D203AD">
        <w:rPr>
          <w:rFonts w:ascii="Traditional Arabic" w:hAnsi="Traditional Arabic" w:cs="Traditional Arabic"/>
          <w:sz w:val="28"/>
          <w:szCs w:val="28"/>
          <w:rtl/>
        </w:rPr>
        <w:t xml:space="preserve"> - أ.د/ سعيد حسن بحيرى، "علم لغة النص، المفاهيم والاتجاهات"، ص 22.</w:t>
      </w:r>
    </w:p>
  </w:footnote>
  <w:footnote w:id="3">
    <w:p w:rsidR="00FC48DE" w:rsidRPr="00D203AD" w:rsidRDefault="00FC48DE" w:rsidP="00FC48DE">
      <w:pPr>
        <w:pStyle w:val="Notedebasdepage"/>
        <w:rPr>
          <w:rFonts w:ascii="Traditional Arabic" w:hAnsi="Traditional Arabic" w:cs="Traditional Arabic"/>
          <w:sz w:val="28"/>
          <w:szCs w:val="28"/>
          <w:rtl/>
          <w:lang w:bidi="ar-DZ"/>
        </w:rPr>
      </w:pPr>
      <w:r w:rsidRPr="00D203AD">
        <w:rPr>
          <w:rStyle w:val="Appelnotedebasdep"/>
          <w:rFonts w:ascii="Traditional Arabic" w:eastAsiaTheme="minorEastAsia" w:hAnsi="Traditional Arabic" w:cs="Traditional Arabic"/>
          <w:sz w:val="28"/>
          <w:szCs w:val="28"/>
        </w:rPr>
        <w:footnoteRef/>
      </w:r>
      <w:r w:rsidRPr="00D203AD">
        <w:rPr>
          <w:rFonts w:ascii="Traditional Arabic" w:hAnsi="Traditional Arabic" w:cs="Traditional Arabic"/>
          <w:sz w:val="28"/>
          <w:szCs w:val="28"/>
          <w:rtl/>
          <w:lang w:bidi="ar-DZ"/>
        </w:rPr>
        <w:t xml:space="preserve"> -مقدمة ابن خلدون"، باب البيان، ص521</w:t>
      </w:r>
    </w:p>
  </w:footnote>
  <w:footnote w:id="4">
    <w:p w:rsidR="00FC48DE" w:rsidRPr="00D203AD" w:rsidRDefault="00FC48DE" w:rsidP="00FC48DE">
      <w:pPr>
        <w:pStyle w:val="Notedebasdepage"/>
        <w:rPr>
          <w:rFonts w:ascii="Traditional Arabic" w:hAnsi="Traditional Arabic" w:cs="Traditional Arabic"/>
          <w:sz w:val="28"/>
          <w:szCs w:val="28"/>
          <w:rtl/>
          <w:lang w:bidi="ar-DZ"/>
        </w:rPr>
      </w:pPr>
      <w:r w:rsidRPr="00D203AD">
        <w:rPr>
          <w:rStyle w:val="Appelnotedebasdep"/>
          <w:rFonts w:ascii="Traditional Arabic" w:eastAsiaTheme="minorEastAsia" w:hAnsi="Traditional Arabic" w:cs="Traditional Arabic"/>
          <w:sz w:val="28"/>
          <w:szCs w:val="28"/>
        </w:rPr>
        <w:footnoteRef/>
      </w:r>
      <w:r w:rsidRPr="00D203AD">
        <w:rPr>
          <w:rFonts w:ascii="Traditional Arabic" w:hAnsi="Traditional Arabic" w:cs="Traditional Arabic"/>
          <w:sz w:val="28"/>
          <w:szCs w:val="28"/>
          <w:rtl/>
          <w:lang w:bidi="ar-DZ"/>
        </w:rPr>
        <w:t xml:space="preserve"> -يُنظر: الدكتور محمد العمري، "البلاغة الجديدة بين التخييل والتداول"، دار إفريقيا الشرق سنة 2005م، ص 28 - 29.</w:t>
      </w:r>
    </w:p>
  </w:footnote>
  <w:footnote w:id="5">
    <w:p w:rsidR="00FC48DE" w:rsidRPr="00D203AD" w:rsidRDefault="00FC48DE" w:rsidP="00FC48DE">
      <w:pPr>
        <w:pStyle w:val="Notedebasdepage"/>
        <w:bidi w:val="0"/>
        <w:jc w:val="right"/>
        <w:rPr>
          <w:rFonts w:ascii="Traditional Arabic" w:hAnsi="Traditional Arabic" w:cs="Traditional Arabic"/>
          <w:sz w:val="28"/>
          <w:szCs w:val="28"/>
          <w:rtl/>
          <w:lang w:bidi="ar-DZ"/>
        </w:rPr>
      </w:pPr>
      <w:r w:rsidRPr="00D203AD">
        <w:rPr>
          <w:rFonts w:ascii="Traditional Arabic" w:hAnsi="Traditional Arabic" w:cs="Traditional Arabic"/>
          <w:sz w:val="28"/>
          <w:szCs w:val="28"/>
          <w:rtl/>
        </w:rPr>
        <w:t xml:space="preserve"> - يُنظر: يُنظَر كتاب "البلاغة الجديدة بين التَّخييل والتداول"، الدكتور محمد العمري سنة 2005م بدار إفريقيا الشرق</w:t>
      </w:r>
      <w:r w:rsidRPr="00D203AD">
        <w:rPr>
          <w:rFonts w:ascii="Traditional Arabic" w:hAnsi="Traditional Arabic" w:cs="Traditional Arabic"/>
          <w:sz w:val="28"/>
          <w:szCs w:val="28"/>
        </w:rPr>
        <w:t>..</w:t>
      </w:r>
      <w:r w:rsidRPr="00D203AD">
        <w:rPr>
          <w:rStyle w:val="Appelnotedebasdep"/>
          <w:rFonts w:ascii="Traditional Arabic" w:eastAsiaTheme="minorEastAsia" w:hAnsi="Traditional Arabic" w:cs="Traditional Arabic"/>
          <w:sz w:val="28"/>
          <w:szCs w:val="28"/>
        </w:rPr>
        <w:footnoteRef/>
      </w:r>
    </w:p>
  </w:footnote>
  <w:footnote w:id="6">
    <w:p w:rsidR="00FC48DE" w:rsidRPr="00D203AD" w:rsidRDefault="00FC48DE" w:rsidP="00FC48DE">
      <w:pPr>
        <w:pStyle w:val="Notedebasdepage"/>
        <w:bidi w:val="0"/>
        <w:jc w:val="right"/>
        <w:rPr>
          <w:rFonts w:ascii="Traditional Arabic" w:hAnsi="Traditional Arabic" w:cs="Traditional Arabic"/>
          <w:sz w:val="28"/>
          <w:szCs w:val="28"/>
          <w:rtl/>
          <w:lang w:bidi="ar-DZ"/>
        </w:rPr>
      </w:pPr>
      <w:r w:rsidRPr="00D203AD">
        <w:rPr>
          <w:rFonts w:ascii="Traditional Arabic" w:hAnsi="Traditional Arabic" w:cs="Traditional Arabic"/>
          <w:sz w:val="28"/>
          <w:szCs w:val="28"/>
          <w:rtl/>
        </w:rPr>
        <w:t xml:space="preserve"> - الزبيدي، "تاج العروس"، 1/ 302.‏ </w:t>
      </w:r>
      <w:r w:rsidRPr="00D203AD">
        <w:rPr>
          <w:rStyle w:val="Appelnotedebasdep"/>
          <w:rFonts w:ascii="Traditional Arabic" w:eastAsiaTheme="minorEastAsia" w:hAnsi="Traditional Arabic" w:cs="Traditional Arabic"/>
          <w:sz w:val="28"/>
          <w:szCs w:val="28"/>
        </w:rPr>
        <w:footnoteRef/>
      </w:r>
    </w:p>
  </w:footnote>
  <w:footnote w:id="7">
    <w:p w:rsidR="00FC48DE" w:rsidRPr="00D203AD" w:rsidRDefault="00FC48DE" w:rsidP="00FC48DE">
      <w:pPr>
        <w:pStyle w:val="Notedebasdepage"/>
        <w:bidi w:val="0"/>
        <w:jc w:val="right"/>
        <w:rPr>
          <w:rFonts w:ascii="Traditional Arabic" w:hAnsi="Traditional Arabic" w:cs="Traditional Arabic"/>
          <w:sz w:val="28"/>
          <w:szCs w:val="28"/>
          <w:rtl/>
          <w:lang w:bidi="ar-DZ"/>
        </w:rPr>
      </w:pPr>
      <w:r w:rsidRPr="00D203AD">
        <w:rPr>
          <w:rFonts w:ascii="Traditional Arabic" w:hAnsi="Traditional Arabic" w:cs="Traditional Arabic"/>
          <w:sz w:val="28"/>
          <w:szCs w:val="28"/>
          <w:rtl/>
        </w:rPr>
        <w:t xml:space="preserve"> - ابن طباطبا، "عيار الشِّعر"، ص 11.‏</w:t>
      </w:r>
      <w:r w:rsidRPr="00D203AD">
        <w:rPr>
          <w:rStyle w:val="Appelnotedebasdep"/>
          <w:rFonts w:ascii="Traditional Arabic" w:eastAsiaTheme="minorEastAsia" w:hAnsi="Traditional Arabic" w:cs="Traditional Arabic"/>
          <w:sz w:val="28"/>
          <w:szCs w:val="28"/>
        </w:rPr>
        <w:footnoteRef/>
      </w:r>
    </w:p>
  </w:footnote>
  <w:footnote w:id="8">
    <w:p w:rsidR="00FC48DE" w:rsidRPr="00D203AD" w:rsidRDefault="00FC48DE" w:rsidP="00FC48DE">
      <w:pPr>
        <w:pStyle w:val="Notedebasdepage"/>
        <w:bidi w:val="0"/>
        <w:jc w:val="right"/>
        <w:rPr>
          <w:rFonts w:ascii="Traditional Arabic" w:hAnsi="Traditional Arabic" w:cs="Traditional Arabic"/>
          <w:sz w:val="28"/>
          <w:szCs w:val="28"/>
          <w:rtl/>
          <w:lang w:bidi="ar-DZ"/>
        </w:rPr>
      </w:pPr>
      <w:r w:rsidRPr="00D203AD">
        <w:rPr>
          <w:rFonts w:ascii="Traditional Arabic" w:hAnsi="Traditional Arabic" w:cs="Traditional Arabic"/>
          <w:sz w:val="28"/>
          <w:szCs w:val="28"/>
          <w:rtl/>
        </w:rPr>
        <w:t xml:space="preserve"> - عبدالقاهر الجرجاني، "دلائل الإعجاز"، ص64.‏</w:t>
      </w:r>
      <w:r w:rsidRPr="00D203AD">
        <w:rPr>
          <w:rStyle w:val="Appelnotedebasdep"/>
          <w:rFonts w:ascii="Traditional Arabic" w:eastAsiaTheme="minorEastAsia" w:hAnsi="Traditional Arabic" w:cs="Traditional Arabic"/>
          <w:sz w:val="28"/>
          <w:szCs w:val="28"/>
        </w:rPr>
        <w:footnoteRef/>
      </w:r>
    </w:p>
  </w:footnote>
  <w:footnote w:id="9">
    <w:p w:rsidR="00FC48DE" w:rsidRPr="00D203AD" w:rsidRDefault="00FC48DE" w:rsidP="00FC48DE">
      <w:pPr>
        <w:pStyle w:val="Notedebasdepage"/>
        <w:rPr>
          <w:rFonts w:ascii="Traditional Arabic" w:hAnsi="Traditional Arabic" w:cs="Traditional Arabic"/>
          <w:sz w:val="28"/>
          <w:szCs w:val="28"/>
          <w:lang w:bidi="ar-DZ"/>
        </w:rPr>
      </w:pPr>
      <w:r w:rsidRPr="00D203AD">
        <w:rPr>
          <w:rStyle w:val="Appelnotedebasdep"/>
          <w:rFonts w:ascii="Traditional Arabic" w:eastAsiaTheme="minorEastAsia" w:hAnsi="Traditional Arabic" w:cs="Traditional Arabic"/>
          <w:sz w:val="28"/>
          <w:szCs w:val="28"/>
        </w:rPr>
        <w:footnoteRef/>
      </w:r>
      <w:r w:rsidRPr="00D203AD">
        <w:rPr>
          <w:rFonts w:ascii="Traditional Arabic" w:hAnsi="Traditional Arabic" w:cs="Traditional Arabic"/>
          <w:sz w:val="28"/>
          <w:szCs w:val="28"/>
          <w:rtl/>
        </w:rPr>
        <w:t xml:space="preserve"> - المرجع السابق، ص74.</w:t>
      </w:r>
    </w:p>
  </w:footnote>
  <w:footnote w:id="10">
    <w:p w:rsidR="00FC48DE" w:rsidRPr="00D203AD" w:rsidRDefault="00FC48DE" w:rsidP="00FC48DE">
      <w:pPr>
        <w:pStyle w:val="Notedebasdepage"/>
        <w:rPr>
          <w:rFonts w:ascii="Traditional Arabic" w:hAnsi="Traditional Arabic" w:cs="Traditional Arabic"/>
          <w:sz w:val="28"/>
          <w:szCs w:val="28"/>
          <w:rtl/>
          <w:lang w:bidi="ar-DZ"/>
        </w:rPr>
      </w:pPr>
      <w:r w:rsidRPr="00D203AD">
        <w:rPr>
          <w:rStyle w:val="Appelnotedebasdep"/>
          <w:rFonts w:ascii="Traditional Arabic" w:eastAsiaTheme="minorEastAsia" w:hAnsi="Traditional Arabic" w:cs="Traditional Arabic"/>
          <w:sz w:val="28"/>
          <w:szCs w:val="28"/>
        </w:rPr>
        <w:footnoteRef/>
      </w:r>
      <w:r w:rsidRPr="00D203AD">
        <w:rPr>
          <w:rFonts w:ascii="Traditional Arabic" w:hAnsi="Traditional Arabic" w:cs="Traditional Arabic"/>
          <w:sz w:val="28"/>
          <w:szCs w:val="28"/>
          <w:rtl/>
          <w:lang w:bidi="ar-DZ"/>
        </w:rPr>
        <w:t xml:space="preserve"> - مقدمة ابن خلدون"، ص 352.‏</w:t>
      </w:r>
    </w:p>
  </w:footnote>
  <w:footnote w:id="11">
    <w:p w:rsidR="00FC48DE" w:rsidRPr="00D203AD" w:rsidRDefault="00FC48DE" w:rsidP="00FC48DE">
      <w:pPr>
        <w:pStyle w:val="Notedebasdepage"/>
        <w:rPr>
          <w:rFonts w:ascii="Traditional Arabic" w:hAnsi="Traditional Arabic" w:cs="Traditional Arabic"/>
          <w:sz w:val="28"/>
          <w:szCs w:val="28"/>
          <w:rtl/>
          <w:lang w:bidi="ar-DZ"/>
        </w:rPr>
      </w:pPr>
      <w:r w:rsidRPr="00D203AD">
        <w:rPr>
          <w:rStyle w:val="Appelnotedebasdep"/>
          <w:rFonts w:ascii="Traditional Arabic" w:eastAsiaTheme="minorEastAsia" w:hAnsi="Traditional Arabic" w:cs="Traditional Arabic"/>
          <w:sz w:val="28"/>
          <w:szCs w:val="28"/>
        </w:rPr>
        <w:footnoteRef/>
      </w:r>
      <w:r w:rsidRPr="00D203AD">
        <w:rPr>
          <w:rFonts w:ascii="Traditional Arabic" w:hAnsi="Traditional Arabic" w:cs="Traditional Arabic"/>
          <w:sz w:val="28"/>
          <w:szCs w:val="28"/>
          <w:rtl/>
        </w:rPr>
        <w:t xml:space="preserve"> - عبدالسلام المسدي، "الأسلوبية والأسلوب"، ص20.‏</w:t>
      </w:r>
    </w:p>
  </w:footnote>
  <w:footnote w:id="12">
    <w:p w:rsidR="00FC48DE" w:rsidRPr="00D203AD" w:rsidRDefault="00FC48DE" w:rsidP="00FC48DE">
      <w:pPr>
        <w:pStyle w:val="Notedebasdepage"/>
        <w:rPr>
          <w:rFonts w:ascii="Traditional Arabic" w:hAnsi="Traditional Arabic" w:cs="Traditional Arabic"/>
          <w:sz w:val="28"/>
          <w:szCs w:val="28"/>
          <w:rtl/>
          <w:lang w:bidi="ar-DZ"/>
        </w:rPr>
      </w:pPr>
      <w:r w:rsidRPr="00D203AD">
        <w:rPr>
          <w:rStyle w:val="Appelnotedebasdep"/>
          <w:rFonts w:ascii="Traditional Arabic" w:eastAsiaTheme="minorEastAsia" w:hAnsi="Traditional Arabic" w:cs="Traditional Arabic"/>
          <w:sz w:val="28"/>
          <w:szCs w:val="28"/>
        </w:rPr>
        <w:footnoteRef/>
      </w:r>
      <w:r w:rsidRPr="00D203AD">
        <w:rPr>
          <w:rFonts w:ascii="Traditional Arabic" w:hAnsi="Traditional Arabic" w:cs="Traditional Arabic"/>
          <w:sz w:val="28"/>
          <w:szCs w:val="28"/>
          <w:rtl/>
          <w:lang w:bidi="ar-DZ"/>
        </w:rPr>
        <w:t xml:space="preserve"> - شفرات النص: دراسة سيميولوجية في شعرية القصد والقصيد"، صلاح فضل، دار الآداب، بيروت، ط1/ 1999، ص 80.‏</w:t>
      </w:r>
    </w:p>
  </w:footnote>
  <w:footnote w:id="13">
    <w:p w:rsidR="00FC48DE" w:rsidRPr="00D203AD" w:rsidRDefault="00FC48DE" w:rsidP="00FC48DE">
      <w:pPr>
        <w:pStyle w:val="Notedebasdepage"/>
        <w:rPr>
          <w:rFonts w:ascii="Traditional Arabic" w:hAnsi="Traditional Arabic" w:cs="Traditional Arabic"/>
          <w:sz w:val="28"/>
          <w:szCs w:val="28"/>
          <w:rtl/>
          <w:lang w:bidi="ar-DZ"/>
        </w:rPr>
      </w:pPr>
      <w:r w:rsidRPr="00D203AD">
        <w:rPr>
          <w:rStyle w:val="Appelnotedebasdep"/>
          <w:rFonts w:ascii="Traditional Arabic" w:eastAsiaTheme="minorEastAsia" w:hAnsi="Traditional Arabic" w:cs="Traditional Arabic"/>
          <w:sz w:val="28"/>
          <w:szCs w:val="28"/>
        </w:rPr>
        <w:footnoteRef/>
      </w:r>
      <w:r w:rsidRPr="00D203AD">
        <w:rPr>
          <w:rFonts w:ascii="Traditional Arabic" w:hAnsi="Traditional Arabic" w:cs="Traditional Arabic"/>
          <w:sz w:val="28"/>
          <w:szCs w:val="28"/>
          <w:rtl/>
        </w:rPr>
        <w:t xml:space="preserve"> - أ.د/ سعيد حسن بحيرى، "علم لغة النص، المفاهيم والاتجاهات"، ص 20.</w:t>
      </w:r>
    </w:p>
  </w:footnote>
  <w:footnote w:id="14">
    <w:p w:rsidR="00FC48DE" w:rsidRPr="00D203AD" w:rsidRDefault="00FC48DE" w:rsidP="00FC48DE">
      <w:pPr>
        <w:pStyle w:val="Notedebasdepage"/>
        <w:rPr>
          <w:rFonts w:ascii="Traditional Arabic" w:hAnsi="Traditional Arabic" w:cs="Traditional Arabic"/>
          <w:sz w:val="28"/>
          <w:szCs w:val="28"/>
          <w:rtl/>
          <w:lang w:bidi="ar-DZ"/>
        </w:rPr>
      </w:pPr>
      <w:r w:rsidRPr="00D203AD">
        <w:rPr>
          <w:rStyle w:val="Appelnotedebasdep"/>
          <w:rFonts w:ascii="Traditional Arabic" w:eastAsiaTheme="minorEastAsia" w:hAnsi="Traditional Arabic" w:cs="Traditional Arabic"/>
          <w:sz w:val="28"/>
          <w:szCs w:val="28"/>
        </w:rPr>
        <w:footnoteRef/>
      </w:r>
      <w:r w:rsidRPr="00D203AD">
        <w:rPr>
          <w:rFonts w:ascii="Traditional Arabic" w:hAnsi="Traditional Arabic" w:cs="Traditional Arabic"/>
          <w:sz w:val="28"/>
          <w:szCs w:val="28"/>
          <w:rtl/>
          <w:lang w:bidi="ar-DZ"/>
        </w:rPr>
        <w:t xml:space="preserve"> - أ.د/ سعيد حسن بحيرى، "علم لغة النص، المفاهيم والاتجاهات"، ص 20.</w:t>
      </w:r>
    </w:p>
  </w:footnote>
  <w:footnote w:id="15">
    <w:p w:rsidR="00FC48DE" w:rsidRPr="00D203AD" w:rsidRDefault="00FC48DE" w:rsidP="00FC48DE">
      <w:pPr>
        <w:pStyle w:val="Notedebasdepage"/>
        <w:rPr>
          <w:rFonts w:ascii="Traditional Arabic" w:hAnsi="Traditional Arabic" w:cs="Traditional Arabic"/>
          <w:sz w:val="28"/>
          <w:szCs w:val="28"/>
          <w:rtl/>
          <w:lang w:bidi="ar-DZ"/>
        </w:rPr>
      </w:pPr>
      <w:r w:rsidRPr="00D203AD">
        <w:rPr>
          <w:rStyle w:val="Appelnotedebasdep"/>
          <w:rFonts w:ascii="Traditional Arabic" w:eastAsiaTheme="minorEastAsia" w:hAnsi="Traditional Arabic" w:cs="Traditional Arabic"/>
          <w:sz w:val="28"/>
          <w:szCs w:val="28"/>
        </w:rPr>
        <w:footnoteRef/>
      </w:r>
      <w:r w:rsidRPr="00D203AD">
        <w:rPr>
          <w:rFonts w:ascii="Traditional Arabic" w:hAnsi="Traditional Arabic" w:cs="Traditional Arabic"/>
          <w:sz w:val="28"/>
          <w:szCs w:val="28"/>
          <w:rtl/>
          <w:lang w:bidi="ar-DZ"/>
        </w:rPr>
        <w:t xml:space="preserve"> - أ.د/ سعيد حسن بحيرى، "علم لغة النص، المفاهيم والاتجاهات"، ص 29.</w:t>
      </w:r>
    </w:p>
  </w:footnote>
  <w:footnote w:id="16">
    <w:p w:rsidR="00FC48DE" w:rsidRPr="00D203AD" w:rsidRDefault="00FC48DE" w:rsidP="00FC48DE">
      <w:pPr>
        <w:pStyle w:val="Notedebasdepage"/>
        <w:rPr>
          <w:rFonts w:ascii="Traditional Arabic" w:hAnsi="Traditional Arabic" w:cs="Traditional Arabic"/>
          <w:sz w:val="28"/>
          <w:szCs w:val="28"/>
          <w:rtl/>
          <w:lang w:bidi="ar-DZ"/>
        </w:rPr>
      </w:pPr>
      <w:r w:rsidRPr="00D203AD">
        <w:rPr>
          <w:rStyle w:val="Appelnotedebasdep"/>
          <w:rFonts w:ascii="Traditional Arabic" w:eastAsiaTheme="minorEastAsia" w:hAnsi="Traditional Arabic" w:cs="Traditional Arabic"/>
          <w:sz w:val="28"/>
          <w:szCs w:val="28"/>
        </w:rPr>
        <w:footnoteRef/>
      </w:r>
      <w:r w:rsidRPr="00D203AD">
        <w:rPr>
          <w:rFonts w:ascii="Traditional Arabic" w:hAnsi="Traditional Arabic" w:cs="Traditional Arabic"/>
          <w:sz w:val="28"/>
          <w:szCs w:val="28"/>
          <w:rtl/>
        </w:rPr>
        <w:t xml:space="preserve"> -  أ.د/ سعيد حسن بحيرى، "علم لغة النص، المفاهيم والاتجاهات"، ص 21.</w:t>
      </w:r>
    </w:p>
  </w:footnote>
  <w:footnote w:id="17">
    <w:p w:rsidR="00FC48DE" w:rsidRPr="00D203AD" w:rsidRDefault="00FC48DE" w:rsidP="00FC48DE">
      <w:pPr>
        <w:pStyle w:val="Notedebasdepage"/>
        <w:rPr>
          <w:rFonts w:ascii="Traditional Arabic" w:hAnsi="Traditional Arabic" w:cs="Traditional Arabic"/>
          <w:sz w:val="28"/>
          <w:szCs w:val="28"/>
          <w:rtl/>
          <w:lang w:bidi="ar-DZ"/>
        </w:rPr>
      </w:pPr>
      <w:r w:rsidRPr="00D203AD">
        <w:rPr>
          <w:rFonts w:ascii="Traditional Arabic" w:hAnsi="Traditional Arabic" w:cs="Traditional Arabic"/>
          <w:sz w:val="28"/>
          <w:szCs w:val="28"/>
          <w:rtl/>
        </w:rPr>
        <w:t xml:space="preserve"> - حازم القرطاجني، "منهاج البلغاء"، ص 226</w:t>
      </w:r>
      <w:r w:rsidRPr="00D203AD">
        <w:rPr>
          <w:rFonts w:ascii="Traditional Arabic" w:hAnsi="Traditional Arabic" w:cs="Traditional Arabic"/>
          <w:sz w:val="28"/>
          <w:szCs w:val="28"/>
        </w:rPr>
        <w:t>.</w:t>
      </w:r>
      <w:r w:rsidRPr="00D203AD">
        <w:rPr>
          <w:rStyle w:val="Appelnotedebasdep"/>
          <w:rFonts w:ascii="Traditional Arabic" w:eastAsiaTheme="minorEastAsia" w:hAnsi="Traditional Arabic" w:cs="Traditional Arabic"/>
          <w:sz w:val="28"/>
          <w:szCs w:val="28"/>
        </w:rPr>
        <w:footnoteRef/>
      </w:r>
    </w:p>
  </w:footnote>
  <w:footnote w:id="18">
    <w:p w:rsidR="00FC48DE" w:rsidRPr="00D203AD" w:rsidRDefault="00FC48DE" w:rsidP="00FC48DE">
      <w:pPr>
        <w:pStyle w:val="Notedebasdepage"/>
        <w:bidi w:val="0"/>
        <w:rPr>
          <w:rFonts w:ascii="Traditional Arabic" w:hAnsi="Traditional Arabic" w:cs="Traditional Arabic"/>
          <w:sz w:val="28"/>
          <w:szCs w:val="28"/>
          <w:rtl/>
          <w:lang w:bidi="ar-DZ"/>
        </w:rPr>
      </w:pPr>
      <w:r w:rsidRPr="00D203AD">
        <w:rPr>
          <w:rStyle w:val="Appelnotedebasdep"/>
          <w:rFonts w:ascii="Traditional Arabic" w:eastAsiaTheme="minorEastAsia" w:hAnsi="Traditional Arabic" w:cs="Traditional Arabic"/>
          <w:sz w:val="28"/>
          <w:szCs w:val="28"/>
        </w:rPr>
        <w:footnoteRef/>
      </w:r>
      <w:r w:rsidRPr="00D203AD">
        <w:rPr>
          <w:rFonts w:ascii="Traditional Arabic" w:hAnsi="Traditional Arabic" w:cs="Traditional Arabic"/>
          <w:sz w:val="28"/>
          <w:szCs w:val="28"/>
          <w:rtl/>
          <w:lang w:bidi="ar-DZ"/>
        </w:rPr>
        <w:t xml:space="preserve"> -</w:t>
      </w:r>
      <w:r w:rsidRPr="009D43AE">
        <w:rPr>
          <w:rFonts w:ascii="Traditional Arabic" w:hAnsi="Traditional Arabic" w:cs="Traditional Arabic"/>
          <w:sz w:val="28"/>
          <w:szCs w:val="28"/>
          <w:lang w:val="fr-FR" w:bidi="ar-DZ"/>
        </w:rPr>
        <w:t>Rhétorique restreinte. G. Genette. Figure3. Edition du seuil. Paris 1972. P 21 - 40.</w:t>
      </w:r>
    </w:p>
  </w:footnote>
  <w:footnote w:id="19">
    <w:p w:rsidR="00FC48DE" w:rsidRPr="00D203AD" w:rsidRDefault="00FC48DE" w:rsidP="00FC48DE">
      <w:pPr>
        <w:pStyle w:val="Notedebasdepage"/>
        <w:rPr>
          <w:rFonts w:ascii="Traditional Arabic" w:hAnsi="Traditional Arabic" w:cs="Traditional Arabic"/>
          <w:sz w:val="28"/>
          <w:szCs w:val="28"/>
          <w:rtl/>
          <w:lang w:bidi="ar-DZ"/>
        </w:rPr>
      </w:pPr>
      <w:r w:rsidRPr="00D203AD">
        <w:rPr>
          <w:rFonts w:ascii="Traditional Arabic" w:hAnsi="Traditional Arabic" w:cs="Traditional Arabic"/>
          <w:sz w:val="28"/>
          <w:szCs w:val="28"/>
          <w:rtl/>
        </w:rPr>
        <w:t xml:space="preserve"> - ينظر كتاب "البلاغة العامة والبلاغات المعممة"، محمد العمري، ضمن مجلة فكر ونقد، العدد 20، يناير 2000، ص 69 - 70</w:t>
      </w:r>
      <w:r w:rsidRPr="00D203AD">
        <w:rPr>
          <w:rFonts w:ascii="Traditional Arabic" w:hAnsi="Traditional Arabic" w:cs="Traditional Arabic"/>
          <w:sz w:val="28"/>
          <w:szCs w:val="28"/>
        </w:rPr>
        <w:t>.</w:t>
      </w:r>
      <w:r w:rsidRPr="00D203AD">
        <w:rPr>
          <w:rStyle w:val="Appelnotedebasdep"/>
          <w:rFonts w:ascii="Traditional Arabic" w:eastAsiaTheme="minorEastAsia" w:hAnsi="Traditional Arabic" w:cs="Traditional Arabic"/>
          <w:sz w:val="28"/>
          <w:szCs w:val="28"/>
        </w:rPr>
        <w:footnoteRef/>
      </w:r>
    </w:p>
  </w:footnote>
  <w:footnote w:id="20">
    <w:p w:rsidR="00FC48DE" w:rsidRPr="00D203AD" w:rsidRDefault="00FC48DE" w:rsidP="00FC48DE">
      <w:pPr>
        <w:bidi/>
        <w:rPr>
          <w:rFonts w:ascii="Traditional Arabic" w:hAnsi="Traditional Arabic" w:cs="Traditional Arabic"/>
          <w:sz w:val="28"/>
          <w:szCs w:val="28"/>
          <w:rtl/>
          <w:lang w:bidi="ar-DZ"/>
        </w:rPr>
      </w:pPr>
      <w:r w:rsidRPr="00D203AD">
        <w:rPr>
          <w:rStyle w:val="Appelnotedebasdep"/>
          <w:rFonts w:ascii="Traditional Arabic" w:hAnsi="Traditional Arabic" w:cs="Traditional Arabic"/>
          <w:sz w:val="28"/>
          <w:szCs w:val="28"/>
        </w:rPr>
        <w:footnoteRef/>
      </w:r>
      <w:r w:rsidRPr="00D203AD">
        <w:rPr>
          <w:rFonts w:ascii="Traditional Arabic" w:hAnsi="Traditional Arabic" w:cs="Traditional Arabic"/>
          <w:sz w:val="28"/>
          <w:szCs w:val="28"/>
          <w:rtl/>
          <w:lang w:bidi="ar-DZ"/>
        </w:rPr>
        <w:t xml:space="preserve">- </w:t>
      </w:r>
      <w:r w:rsidRPr="00D203AD">
        <w:rPr>
          <w:rFonts w:ascii="Traditional Arabic" w:hAnsi="Traditional Arabic" w:cs="Traditional Arabic"/>
          <w:sz w:val="28"/>
          <w:szCs w:val="28"/>
          <w:rtl/>
        </w:rPr>
        <w:t>محمد الولي، "من بلاغة الحجاج إلى بلاغة المحسنات"، مجلة "فكر ونقد" عدد 20 - 1998، ص 138</w:t>
      </w:r>
      <w:r w:rsidRPr="00D203AD">
        <w:rPr>
          <w:rFonts w:ascii="Traditional Arabic" w:hAnsi="Traditional Arabic" w:cs="Traditional Arabic"/>
          <w:sz w:val="28"/>
          <w:szCs w:val="28"/>
          <w:lang w:bidi="ar-DZ"/>
        </w:rPr>
        <w:t>.</w:t>
      </w:r>
    </w:p>
  </w:footnote>
  <w:footnote w:id="21">
    <w:p w:rsidR="00FC48DE" w:rsidRPr="00D203AD" w:rsidRDefault="00FC48DE" w:rsidP="00FC48DE">
      <w:pPr>
        <w:pStyle w:val="Notedebasdepage"/>
        <w:rPr>
          <w:rFonts w:ascii="Traditional Arabic" w:hAnsi="Traditional Arabic" w:cs="Traditional Arabic"/>
          <w:sz w:val="28"/>
          <w:szCs w:val="28"/>
          <w:rtl/>
          <w:lang w:bidi="ar-DZ"/>
        </w:rPr>
      </w:pPr>
      <w:r w:rsidRPr="00D203AD">
        <w:rPr>
          <w:rStyle w:val="Appelnotedebasdep"/>
          <w:rFonts w:ascii="Traditional Arabic" w:eastAsiaTheme="minorEastAsia" w:hAnsi="Traditional Arabic" w:cs="Traditional Arabic"/>
          <w:sz w:val="28"/>
          <w:szCs w:val="28"/>
        </w:rPr>
        <w:footnoteRef/>
      </w:r>
      <w:r w:rsidRPr="00D203AD">
        <w:rPr>
          <w:rFonts w:ascii="Traditional Arabic" w:hAnsi="Traditional Arabic" w:cs="Traditional Arabic"/>
          <w:sz w:val="28"/>
          <w:szCs w:val="28"/>
          <w:rtl/>
          <w:lang w:bidi="ar-DZ"/>
        </w:rPr>
        <w:t>-  أ.د/ سعيد حسن بحيرى، "علم لغة النص، المفاهيم والاتجاهات"، ص 28.</w:t>
      </w:r>
    </w:p>
  </w:footnote>
  <w:footnote w:id="22">
    <w:p w:rsidR="00FC48DE" w:rsidRPr="00D203AD" w:rsidRDefault="00FC48DE" w:rsidP="00FC48DE">
      <w:pPr>
        <w:pStyle w:val="Notedebasdepage"/>
        <w:rPr>
          <w:rFonts w:ascii="Traditional Arabic" w:hAnsi="Traditional Arabic" w:cs="Traditional Arabic"/>
          <w:sz w:val="28"/>
          <w:szCs w:val="28"/>
          <w:lang w:bidi="ar-DZ"/>
        </w:rPr>
      </w:pPr>
      <w:r w:rsidRPr="00D203AD">
        <w:rPr>
          <w:rStyle w:val="Appelnotedebasdep"/>
          <w:rFonts w:ascii="Traditional Arabic" w:eastAsiaTheme="minorEastAsia" w:hAnsi="Traditional Arabic" w:cs="Traditional Arabic"/>
          <w:sz w:val="28"/>
          <w:szCs w:val="28"/>
        </w:rPr>
        <w:footnoteRef/>
      </w:r>
      <w:r w:rsidRPr="00D203AD">
        <w:rPr>
          <w:rFonts w:ascii="Traditional Arabic" w:hAnsi="Traditional Arabic" w:cs="Traditional Arabic"/>
          <w:sz w:val="28"/>
          <w:szCs w:val="28"/>
          <w:rtl/>
          <w:lang w:bidi="ar-DZ"/>
        </w:rPr>
        <w:t>- د.مها خيربك ناصر، "النقد العربي البنيوي"، مجلة الخطاب، العدد الثاني: مايو 2007، ص200.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savePreviewPicture/>
  <w:footnotePr>
    <w:footnote w:id="0"/>
    <w:footnote w:id="1"/>
  </w:footnotePr>
  <w:endnotePr>
    <w:endnote w:id="0"/>
    <w:endnote w:id="1"/>
  </w:endnotePr>
  <w:compat/>
  <w:rsids>
    <w:rsidRoot w:val="00FC48DE"/>
    <w:rsid w:val="001D3481"/>
    <w:rsid w:val="0074526C"/>
    <w:rsid w:val="0075364B"/>
    <w:rsid w:val="00AE27DC"/>
    <w:rsid w:val="00FC48DE"/>
    <w:rsid w:val="00FF5A0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8DE"/>
    <w:rPr>
      <w:rFonts w:eastAsiaTheme="minorEastAsia"/>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Car,نص حاشية سفلية Char,نص حاشية سفلية Char Car Car"/>
    <w:basedOn w:val="Normal"/>
    <w:link w:val="NotedebasdepageCar"/>
    <w:qFormat/>
    <w:rsid w:val="00FC48DE"/>
    <w:pPr>
      <w:bidi/>
      <w:spacing w:after="0" w:line="240" w:lineRule="auto"/>
    </w:pPr>
    <w:rPr>
      <w:rFonts w:ascii="Times New Roman" w:eastAsia="Times New Roman" w:hAnsi="Times New Roman" w:cs="Al-QuranAlKareem"/>
      <w:sz w:val="20"/>
      <w:szCs w:val="20"/>
      <w:lang w:val="en-US" w:eastAsia="en-US"/>
    </w:rPr>
  </w:style>
  <w:style w:type="character" w:customStyle="1" w:styleId="NotedebasdepageCar">
    <w:name w:val="Note de bas de page Car"/>
    <w:aliases w:val="Car Car,نص حاشية سفلية Char Car,نص حاشية سفلية Char Car Car Car"/>
    <w:basedOn w:val="Policepardfaut"/>
    <w:link w:val="Notedebasdepage"/>
    <w:rsid w:val="00FC48DE"/>
    <w:rPr>
      <w:rFonts w:ascii="Times New Roman" w:eastAsia="Times New Roman" w:hAnsi="Times New Roman" w:cs="Al-QuranAlKareem"/>
      <w:sz w:val="20"/>
      <w:szCs w:val="20"/>
    </w:rPr>
  </w:style>
  <w:style w:type="character" w:styleId="Appelnotedebasdep">
    <w:name w:val="footnote reference"/>
    <w:basedOn w:val="Policepardfaut"/>
    <w:qFormat/>
    <w:rsid w:val="00FC48DE"/>
    <w:rPr>
      <w:vertAlign w:val="superscript"/>
    </w:rPr>
  </w:style>
  <w:style w:type="paragraph" w:styleId="En-tte">
    <w:name w:val="header"/>
    <w:basedOn w:val="Normal"/>
    <w:link w:val="En-tteCar"/>
    <w:uiPriority w:val="99"/>
    <w:semiHidden/>
    <w:unhideWhenUsed/>
    <w:rsid w:val="00AE27DC"/>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AE27DC"/>
    <w:rPr>
      <w:rFonts w:eastAsiaTheme="minorEastAsia"/>
      <w:lang w:val="fr-FR" w:eastAsia="fr-FR"/>
    </w:rPr>
  </w:style>
  <w:style w:type="paragraph" w:styleId="Pieddepage">
    <w:name w:val="footer"/>
    <w:basedOn w:val="Normal"/>
    <w:link w:val="PieddepageCar"/>
    <w:uiPriority w:val="99"/>
    <w:unhideWhenUsed/>
    <w:rsid w:val="00AE27D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E27DC"/>
    <w:rPr>
      <w:rFonts w:eastAsiaTheme="minorEastAsia"/>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1560</Words>
  <Characters>8898</Characters>
  <Application>Microsoft Office Word</Application>
  <DocSecurity>0</DocSecurity>
  <Lines>74</Lines>
  <Paragraphs>20</Paragraphs>
  <ScaleCrop>false</ScaleCrop>
  <Company/>
  <LinksUpToDate>false</LinksUpToDate>
  <CharactersWithSpaces>10438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2021-02-22T13:55:00Z</dcterms:created>
  <dcterms:modified xsi:type="dcterms:W3CDTF">2021-02-22T13:58:00Z</dcterms:modified>
</cp:coreProperties>
</file>